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A4" w:rsidRPr="001635A4" w:rsidRDefault="001635A4" w:rsidP="001635A4">
      <w:pPr>
        <w:rPr>
          <w:rFonts w:ascii="Times New Roman" w:eastAsia="Calibri" w:hAnsi="Times New Roman" w:cs="Times New Roman"/>
          <w:sz w:val="16"/>
          <w:szCs w:val="16"/>
          <w:lang w:val="sr-Latn-RS"/>
        </w:rPr>
      </w:pPr>
      <w:r w:rsidRPr="001635A4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791BD1B" wp14:editId="3D1087E8">
            <wp:simplePos x="0" y="0"/>
            <wp:positionH relativeFrom="column">
              <wp:posOffset>4665980</wp:posOffset>
            </wp:positionH>
            <wp:positionV relativeFrom="paragraph">
              <wp:posOffset>-238125</wp:posOffset>
            </wp:positionV>
            <wp:extent cx="1814830" cy="600075"/>
            <wp:effectExtent l="0" t="0" r="0" b="952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5A4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OPŠTINA BIJELO POLJE </w:t>
      </w:r>
    </w:p>
    <w:p w:rsidR="001635A4" w:rsidRPr="001635A4" w:rsidRDefault="001635A4" w:rsidP="001635A4">
      <w:pPr>
        <w:rPr>
          <w:rFonts w:ascii="Times New Roman" w:eastAsia="Calibri" w:hAnsi="Times New Roman" w:cs="Times New Roman"/>
          <w:sz w:val="16"/>
          <w:szCs w:val="16"/>
          <w:lang w:val="sr-Latn-RS"/>
        </w:rPr>
      </w:pPr>
      <w:r w:rsidRPr="001635A4"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Turistička organizacija Bijelo Polje          </w:t>
      </w:r>
    </w:p>
    <w:p w:rsidR="001635A4" w:rsidRPr="001635A4" w:rsidRDefault="00967FEE" w:rsidP="001635A4">
      <w:pPr>
        <w:rPr>
          <w:rFonts w:ascii="Times New Roman" w:eastAsia="Calibri" w:hAnsi="Times New Roman" w:cs="Times New Roman"/>
          <w:sz w:val="16"/>
          <w:szCs w:val="16"/>
          <w:lang w:val="sr-Latn-RS"/>
        </w:rPr>
      </w:pPr>
      <w:r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Bijelo Polje  </w:t>
      </w:r>
      <w:r w:rsidR="00545604">
        <w:rPr>
          <w:rFonts w:ascii="Times New Roman" w:eastAsia="Calibri" w:hAnsi="Times New Roman" w:cs="Times New Roman"/>
          <w:sz w:val="16"/>
          <w:szCs w:val="16"/>
          <w:lang w:val="sr-Latn-RS"/>
        </w:rPr>
        <w:t>19</w:t>
      </w:r>
      <w:r w:rsidR="008053B7">
        <w:rPr>
          <w:rFonts w:ascii="Times New Roman" w:eastAsia="Calibri" w:hAnsi="Times New Roman" w:cs="Times New Roman"/>
          <w:sz w:val="16"/>
          <w:szCs w:val="16"/>
          <w:lang w:val="sr-Latn-RS"/>
        </w:rPr>
        <w:t>.01.</w:t>
      </w:r>
      <w:r>
        <w:rPr>
          <w:rFonts w:ascii="Times New Roman" w:eastAsia="Calibri" w:hAnsi="Times New Roman" w:cs="Times New Roman"/>
          <w:sz w:val="16"/>
          <w:szCs w:val="16"/>
          <w:lang w:val="sr-Latn-RS"/>
        </w:rPr>
        <w:t xml:space="preserve"> 2024</w:t>
      </w:r>
      <w:r w:rsidR="001635A4" w:rsidRPr="001635A4">
        <w:rPr>
          <w:rFonts w:ascii="Times New Roman" w:eastAsia="Calibri" w:hAnsi="Times New Roman" w:cs="Times New Roman"/>
          <w:sz w:val="16"/>
          <w:szCs w:val="16"/>
          <w:lang w:val="sr-Latn-RS"/>
        </w:rPr>
        <w:t>.godine</w:t>
      </w:r>
    </w:p>
    <w:p w:rsidR="001635A4" w:rsidRPr="001635A4" w:rsidRDefault="001635A4" w:rsidP="001635A4">
      <w:pPr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sr-Latn-RS"/>
        </w:rPr>
      </w:pPr>
      <w:r w:rsidRPr="001635A4"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sr-Latn-RS"/>
        </w:rPr>
        <w:t>BR 16/</w:t>
      </w:r>
      <w:r w:rsidR="008053B7"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sr-Latn-RS"/>
        </w:rPr>
        <w:t>1439</w:t>
      </w:r>
    </w:p>
    <w:p w:rsidR="001635A4" w:rsidRDefault="001635A4" w:rsidP="001635A4">
      <w:pPr>
        <w:pBdr>
          <w:bottom w:val="single" w:sz="6" w:space="1" w:color="auto"/>
        </w:pBdr>
        <w:spacing w:after="200" w:line="276" w:lineRule="auto"/>
        <w:rPr>
          <w:b/>
          <w:i/>
          <w:sz w:val="28"/>
          <w:szCs w:val="28"/>
        </w:rPr>
      </w:pPr>
    </w:p>
    <w:p w:rsidR="001635A4" w:rsidRPr="00560694" w:rsidRDefault="001635A4" w:rsidP="001635A4">
      <w:pPr>
        <w:pBdr>
          <w:bottom w:val="single" w:sz="6" w:space="1" w:color="auto"/>
        </w:pBdr>
        <w:spacing w:after="200" w:line="276" w:lineRule="auto"/>
        <w:rPr>
          <w:b/>
          <w:i/>
          <w:sz w:val="28"/>
          <w:szCs w:val="28"/>
        </w:rPr>
      </w:pPr>
      <w:proofErr w:type="gramStart"/>
      <w:r w:rsidRPr="00560694">
        <w:rPr>
          <w:b/>
          <w:i/>
          <w:sz w:val="28"/>
          <w:szCs w:val="28"/>
        </w:rPr>
        <w:t>ul.Slobode</w:t>
      </w:r>
      <w:proofErr w:type="gramEnd"/>
      <w:r w:rsidRPr="00560694">
        <w:rPr>
          <w:b/>
          <w:i/>
          <w:sz w:val="28"/>
          <w:szCs w:val="28"/>
        </w:rPr>
        <w:t xml:space="preserve"> br 10, ul. Nedjeljka Merdovića bb -Sportska hala Nikoljac, email</w:t>
      </w:r>
      <w:proofErr w:type="gramStart"/>
      <w:r w:rsidRPr="00560694">
        <w:rPr>
          <w:b/>
          <w:i/>
          <w:sz w:val="28"/>
          <w:szCs w:val="28"/>
        </w:rPr>
        <w:t>:turisticka</w:t>
      </w:r>
      <w:proofErr w:type="gramEnd"/>
      <w:r w:rsidRPr="00560694">
        <w:rPr>
          <w:b/>
          <w:i/>
          <w:sz w:val="28"/>
          <w:szCs w:val="28"/>
        </w:rPr>
        <w:t xml:space="preserve"> @bijelopolje.co.me, web:tob</w:t>
      </w:r>
      <w:r w:rsidR="00534905">
        <w:rPr>
          <w:b/>
          <w:i/>
          <w:sz w:val="28"/>
          <w:szCs w:val="28"/>
        </w:rPr>
        <w:t>p</w:t>
      </w:r>
      <w:r w:rsidRPr="00560694">
        <w:rPr>
          <w:b/>
          <w:i/>
          <w:sz w:val="28"/>
          <w:szCs w:val="28"/>
        </w:rPr>
        <w:t>.me, tel/fax+382(0)50/433-711,484-795</w:t>
      </w:r>
    </w:p>
    <w:p w:rsidR="001635A4" w:rsidRPr="00560694" w:rsidRDefault="001635A4" w:rsidP="001635A4">
      <w:pPr>
        <w:spacing w:after="200" w:line="276" w:lineRule="auto"/>
        <w:rPr>
          <w:b/>
          <w:i/>
          <w:sz w:val="28"/>
          <w:szCs w:val="28"/>
        </w:rPr>
      </w:pPr>
    </w:p>
    <w:p w:rsidR="00545604" w:rsidRDefault="00545604" w:rsidP="005456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Na osnovu člana 35 stav 2 alineja 2 i 3 Statuta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Turističke organizacije Bijelo Polje (br. 16/1099) Izvršni odbor  Turističke organizacije Bijelo Polje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, na IX  redovnoj  sjednici održanoj 19.01.2024.  godine, usvojio  je </w:t>
      </w:r>
    </w:p>
    <w:p w:rsidR="00545604" w:rsidRDefault="00545604" w:rsidP="00545604">
      <w:pPr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1635A4" w:rsidRPr="00560694" w:rsidRDefault="001635A4" w:rsidP="001635A4">
      <w:pPr>
        <w:spacing w:after="200" w:line="276" w:lineRule="auto"/>
        <w:rPr>
          <w:b/>
          <w:i/>
          <w:sz w:val="28"/>
          <w:szCs w:val="28"/>
        </w:rPr>
      </w:pPr>
    </w:p>
    <w:p w:rsidR="001635A4" w:rsidRPr="00560694" w:rsidRDefault="001635A4" w:rsidP="001635A4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</w:p>
    <w:p w:rsidR="001635A4" w:rsidRPr="00560694" w:rsidRDefault="001635A4" w:rsidP="001635A4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</w:p>
    <w:p w:rsidR="001635A4" w:rsidRPr="00560694" w:rsidRDefault="00EA79B5" w:rsidP="001635A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Latn-CS"/>
        </w:rPr>
        <w:t>PROGRAM</w:t>
      </w:r>
      <w:r w:rsidR="001635A4" w:rsidRPr="00560694">
        <w:rPr>
          <w:rFonts w:ascii="Times New Roman" w:eastAsia="Times New Roman" w:hAnsi="Times New Roman"/>
          <w:b/>
          <w:i/>
          <w:sz w:val="40"/>
          <w:szCs w:val="40"/>
          <w:lang w:val="sr-Latn-CS"/>
        </w:rPr>
        <w:t xml:space="preserve">  RADA TURISTI</w:t>
      </w:r>
      <w:r w:rsidR="001635A4" w:rsidRPr="00560694">
        <w:rPr>
          <w:rFonts w:ascii="Times New Roman" w:eastAsia="Times New Roman" w:hAnsi="Times New Roman"/>
          <w:b/>
          <w:i/>
          <w:sz w:val="40"/>
          <w:szCs w:val="40"/>
          <w:lang w:val="sr-Latn-RS"/>
        </w:rPr>
        <w:t xml:space="preserve">ČKE ORGANIZACIJE BIJELO POLJE </w:t>
      </w:r>
      <w:r w:rsidR="001635A4">
        <w:rPr>
          <w:rFonts w:ascii="Times New Roman" w:eastAsia="Times New Roman" w:hAnsi="Times New Roman"/>
          <w:b/>
          <w:i/>
          <w:sz w:val="40"/>
          <w:szCs w:val="40"/>
          <w:lang w:val="sr-Latn-CS"/>
        </w:rPr>
        <w:t xml:space="preserve"> ZA 2024</w:t>
      </w:r>
      <w:r w:rsidR="001635A4" w:rsidRPr="00560694">
        <w:rPr>
          <w:rFonts w:ascii="Times New Roman" w:eastAsia="Times New Roman" w:hAnsi="Times New Roman"/>
          <w:b/>
          <w:i/>
          <w:sz w:val="40"/>
          <w:szCs w:val="40"/>
          <w:lang w:val="sr-Latn-CS"/>
        </w:rPr>
        <w:t>.GODINU</w:t>
      </w:r>
    </w:p>
    <w:p w:rsidR="001635A4" w:rsidRPr="00560694" w:rsidRDefault="001635A4" w:rsidP="001635A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</w:p>
    <w:p w:rsidR="001635A4" w:rsidRPr="00560694" w:rsidRDefault="001635A4" w:rsidP="001635A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</w:p>
    <w:p w:rsidR="001635A4" w:rsidRPr="00560694" w:rsidRDefault="001635A4" w:rsidP="001635A4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</w:p>
    <w:p w:rsidR="001635A4" w:rsidRPr="00560694" w:rsidRDefault="001635A4" w:rsidP="001635A4">
      <w:pPr>
        <w:spacing w:after="0" w:line="240" w:lineRule="auto"/>
        <w:rPr>
          <w:rFonts w:ascii="Times New Roman" w:eastAsia="Times New Roman" w:hAnsi="Times New Roman"/>
          <w:b/>
          <w:i/>
          <w:sz w:val="36"/>
          <w:szCs w:val="36"/>
          <w:lang w:val="sr-Latn-CS"/>
        </w:rPr>
      </w:pPr>
    </w:p>
    <w:p w:rsidR="001635A4" w:rsidRDefault="001635A4"/>
    <w:p w:rsidR="00545604" w:rsidRDefault="00545604"/>
    <w:p w:rsidR="001635A4" w:rsidRDefault="001635A4"/>
    <w:p w:rsidR="001635A4" w:rsidRDefault="001635A4"/>
    <w:p w:rsidR="001635A4" w:rsidRDefault="001635A4"/>
    <w:p w:rsidR="001635A4" w:rsidRDefault="001635A4" w:rsidP="001635A4"/>
    <w:p w:rsidR="001635A4" w:rsidRPr="00764B40" w:rsidRDefault="001635A4" w:rsidP="001635A4">
      <w:pP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lastRenderedPageBreak/>
        <w:t xml:space="preserve"> UVOD</w:t>
      </w:r>
    </w:p>
    <w:p w:rsidR="001635A4" w:rsidRPr="00764B40" w:rsidRDefault="001635A4" w:rsidP="001635A4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U cilju usaglašenosti razvoja turizma i marketinga destinacije, a shodno članu 19 Zakonu o turističkim organizacijama, “Turistička organizacija za svaku poslovnu godinu utvrđuje program rada i finansijski plan u skladu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sa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smjernicama Nacionalne turističke organizacije”. Lokalne turističke organizacije (u daljem tekstu LTO), u obavezi su da, prije usvajanja, predloge programa rada i finansijskog plana dostave Nacionalnoj turističkoj organizaciji Crne Gore (u daljem tekstu NTO CG)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na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davanje prethodne saglasnosti</w:t>
      </w:r>
    </w:p>
    <w:p w:rsidR="001635A4" w:rsidRPr="00764B40" w:rsidRDefault="001635A4" w:rsidP="001635A4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Shodno članu 30 Zakona o turističkim organizacijama (‘’Sl list Crne Gore ‘’ 011/04 od 20.02.2004 , 046/07 od 31.07.2007 , Sl list Crne Gore br 073/10 od 10.12.2010. , 040/11 od 08.08.20111, 045/14 od 24.10.2014.,042/17 od 30.06. 2017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. ,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027/19 od 17.05. 2019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. )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Nacionalna turistička organizacija Crne Gore  je pripremila Smjernice za izradu Planova i Programa lokalnih turističkih organizacija  koje se odnose na izradu Programa rada i izradu Finansijskog plana.</w:t>
      </w:r>
    </w:p>
    <w:p w:rsidR="001635A4" w:rsidRPr="00764B40" w:rsidRDefault="001635A4" w:rsidP="001635A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Na osnovu tih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smjernica  Program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rada  Turističke organizacije Bijelo Polj</w:t>
      </w:r>
      <w:r w:rsidR="00CD2A0B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e(u daljem tekstu TOBP)  za 2024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. 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godinu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sadrzi aktivnosti u pravcu ostvarivanja ciljeva:</w:t>
      </w:r>
    </w:p>
    <w:p w:rsidR="001635A4" w:rsidRPr="007062B8" w:rsidRDefault="001635A4" w:rsidP="001635A4">
      <w:pPr>
        <w:pStyle w:val="Default"/>
        <w:rPr>
          <w:rStyle w:val="Emphasis"/>
        </w:rPr>
      </w:pPr>
      <w:r>
        <w:t xml:space="preserve"> </w:t>
      </w:r>
    </w:p>
    <w:p w:rsidR="00CD2A0B" w:rsidRPr="00764B40" w:rsidRDefault="001635A4" w:rsidP="001635A4">
      <w:pPr>
        <w:pStyle w:val="Default"/>
        <w:spacing w:after="56"/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a) </w:t>
      </w:r>
      <w:r w:rsidR="00CD2A0B"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Diverzifikacija turističke ponude i unapređenje kvaliteta turističkog prouizvoda na principima održivog </w:t>
      </w:r>
      <w:proofErr w:type="gramStart"/>
      <w:r w:rsidR="00CD2A0B"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razvoja  i</w:t>
      </w:r>
      <w:proofErr w:type="gramEnd"/>
      <w:r w:rsidR="00CD2A0B"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 kroz efikasno upravljanje destinacijom</w:t>
      </w:r>
    </w:p>
    <w:p w:rsidR="001635A4" w:rsidRPr="00764B40" w:rsidRDefault="001635A4" w:rsidP="001635A4">
      <w:pPr>
        <w:pStyle w:val="Default"/>
        <w:spacing w:after="56"/>
        <w:rPr>
          <w:rStyle w:val="Emphasis"/>
          <w:rFonts w:ascii="Times New Roman" w:hAnsi="Times New Roman" w:cs="Times New Roman"/>
          <w:b/>
          <w:i w:val="0"/>
          <w:sz w:val="20"/>
          <w:szCs w:val="20"/>
          <w:lang w:val="sr-Latn-RS"/>
        </w:rPr>
      </w:pPr>
      <w:r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b) </w:t>
      </w:r>
      <w:r w:rsidR="00CD2A0B"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  <w:lang w:val="sr-Latn-RS"/>
        </w:rPr>
        <w:t xml:space="preserve">Pozicioniranje </w:t>
      </w:r>
      <w:proofErr w:type="gramStart"/>
      <w:r w:rsidR="00CD2A0B"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  <w:lang w:val="sr-Latn-RS"/>
        </w:rPr>
        <w:t>na</w:t>
      </w:r>
      <w:proofErr w:type="gramEnd"/>
      <w:r w:rsidR="00CD2A0B"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  <w:lang w:val="sr-Latn-RS"/>
        </w:rPr>
        <w:t xml:space="preserve"> turističkom tržištu i rast prihoda od turizma</w:t>
      </w:r>
    </w:p>
    <w:p w:rsidR="001635A4" w:rsidRPr="00764B40" w:rsidRDefault="001635A4" w:rsidP="001635A4">
      <w:pPr>
        <w:pStyle w:val="Default"/>
        <w:spacing w:after="56"/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c) Jačanje kapaciteta turističke privrede i kreiranje kvalitetne osnove za planiranje aktivnosti </w:t>
      </w:r>
    </w:p>
    <w:p w:rsidR="001635A4" w:rsidRPr="00764B40" w:rsidRDefault="001635A4" w:rsidP="001635A4">
      <w:pPr>
        <w:pStyle w:val="Default"/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d) Suzbijanje sive ekonomije </w:t>
      </w:r>
    </w:p>
    <w:p w:rsidR="001635A4" w:rsidRPr="00764B40" w:rsidRDefault="001635A4" w:rsidP="001635A4">
      <w:pPr>
        <w:rPr>
          <w:rFonts w:ascii="Times New Roman" w:hAnsi="Times New Roman" w:cs="Times New Roman"/>
          <w:noProof/>
          <w:w w:val="90"/>
          <w:sz w:val="20"/>
          <w:szCs w:val="20"/>
          <w:lang w:val="sr-Latn-RS"/>
        </w:rPr>
      </w:pPr>
    </w:p>
    <w:p w:rsidR="001635A4" w:rsidRPr="00764B40" w:rsidRDefault="001635A4" w:rsidP="001635A4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Takođe aktivnosti  će se odnositi na razvoj turističkog proizvoda, promociju, organizaciju manifestacija, izradu promotivnog materijala, kako štampanog tako i u elektonskom obliku, promociju na društvenim mrežama i internet kanalima,pružanje informacija o turističkoj ponudi opštine svim zainteresovanim subjektima, saradnju  sa fizičkim i pravnim licima ( hoteli , ugostitelji , turističke organizacije , turistički vodiči , lokalna  samouprava , javne ustanove i drugi subjekti) koji svojom djelatnošću utiču na razvoj turizma u Bijelom Polju. TOBP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će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obavljati i sve ostale aktivnosti koje su joj Statutom i Odlukom o osnivanju predviđene kao aktivnosti.</w:t>
      </w:r>
    </w:p>
    <w:p w:rsidR="001635A4" w:rsidRPr="00764B40" w:rsidRDefault="001635A4" w:rsidP="001635A4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Uloga TOBP  u narednom periodu biće, kao i u dosadašnjem, sveobuhvatna promocija turističke ponude  Opštine Bijelo Polje, informisanje turista, brojne manifestacije, promotivni nastupi sa Nacionalnom turističkom organizacijom  Crne Gore i ostalim lokalnim  turističkim organizacijama , medijske kampanje, realizacija strategije rasta i razvoja turizma shodno programima </w:t>
      </w:r>
      <w:r w:rsidR="00967FEE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Ministarstva</w:t>
      </w:r>
      <w:r w:rsidR="00E133E9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turi</w:t>
      </w:r>
      <w:r w:rsidR="00E133E9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zma , ekologije, održivog razvoja i razvoja sjevera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, Nacionalne turističke organizacije Crne Gore  i  Opštine Bijelo Polje , zastupanje interesa turističke privrede u okviru funkcija i ovlašćenjaTOBP.</w:t>
      </w:r>
    </w:p>
    <w:p w:rsidR="001635A4" w:rsidRPr="00764B40" w:rsidRDefault="00731411" w:rsidP="001635A4">
      <w:pPr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</w:pP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Program rada TOBP za 2024</w:t>
      </w:r>
      <w:r w:rsidR="001635A4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.</w:t>
      </w:r>
      <w:proofErr w:type="gramEnd"/>
      <w:r w:rsidR="001635A4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godinu  urađen je na osnovu strateških dokumenata  - Zakona o turističkim  organizacijama, </w:t>
      </w:r>
      <w:r w:rsidR="00CD2A0B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Statuta  TOBP , </w:t>
      </w:r>
      <w:r w:rsidR="001635A4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smjernica Nacionalne turističke organizacije Crn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e Gore za 2024</w:t>
      </w:r>
      <w:r w:rsidR="001635A4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.godinu</w:t>
      </w:r>
      <w:r w:rsidR="00CD2A0B"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kao i u skladu sa Strategijom razvoja turi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zma Crne Gore 2022-2025.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godine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, tako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đe i sa strateškim dokumentima Opštine Bijelo Polje(Strateški plan razvoja Opštine Bijelo Polje</w:t>
      </w:r>
      <w:r w:rsidR="00967FEE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 xml:space="preserve"> 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za period  2022-2026.godine).</w:t>
      </w:r>
    </w:p>
    <w:p w:rsidR="001635A4" w:rsidRDefault="001635A4" w:rsidP="001635A4">
      <w:pPr>
        <w:pStyle w:val="Default"/>
      </w:pPr>
    </w:p>
    <w:p w:rsidR="00CC7BF8" w:rsidRDefault="001635A4" w:rsidP="001635A4">
      <w:pPr>
        <w:pStyle w:val="Default"/>
      </w:pPr>
      <w:r>
        <w:t xml:space="preserve"> </w:t>
      </w:r>
    </w:p>
    <w:p w:rsidR="00CD2A0B" w:rsidRDefault="00CD2A0B" w:rsidP="001144EB">
      <w:pPr>
        <w:rPr>
          <w:rFonts w:ascii="Times New Roman" w:hAnsi="Times New Roman" w:cs="Times New Roman"/>
        </w:rPr>
      </w:pPr>
    </w:p>
    <w:p w:rsidR="00764B40" w:rsidRDefault="00764B40" w:rsidP="001144EB">
      <w:pPr>
        <w:rPr>
          <w:rFonts w:ascii="Times New Roman" w:hAnsi="Times New Roman" w:cs="Times New Roman"/>
        </w:rPr>
      </w:pPr>
    </w:p>
    <w:p w:rsidR="00764B40" w:rsidRDefault="00764B40" w:rsidP="001144EB">
      <w:pPr>
        <w:rPr>
          <w:rFonts w:ascii="Times New Roman" w:hAnsi="Times New Roman" w:cs="Times New Roman"/>
        </w:rPr>
      </w:pPr>
    </w:p>
    <w:p w:rsidR="00764B40" w:rsidRDefault="00764B40" w:rsidP="001144EB">
      <w:pPr>
        <w:rPr>
          <w:rFonts w:ascii="Times New Roman" w:hAnsi="Times New Roman" w:cs="Times New Roman"/>
        </w:rPr>
      </w:pPr>
    </w:p>
    <w:p w:rsidR="00764B40" w:rsidRPr="00056296" w:rsidRDefault="00764B40" w:rsidP="001144EB">
      <w:pPr>
        <w:rPr>
          <w:rFonts w:ascii="Times New Roman" w:hAnsi="Times New Roman" w:cs="Times New Roman"/>
        </w:rPr>
      </w:pPr>
    </w:p>
    <w:p w:rsidR="00CD2A0B" w:rsidRPr="001144EB" w:rsidRDefault="001144EB" w:rsidP="001144EB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1144EB">
        <w:rPr>
          <w:rFonts w:ascii="Times New Roman" w:hAnsi="Times New Roman" w:cs="Times New Roman"/>
          <w:sz w:val="20"/>
          <w:szCs w:val="20"/>
        </w:rPr>
        <w:lastRenderedPageBreak/>
        <w:t xml:space="preserve">Broj dolazaka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144EB">
        <w:rPr>
          <w:rFonts w:ascii="Times New Roman" w:hAnsi="Times New Roman" w:cs="Times New Roman"/>
          <w:sz w:val="20"/>
          <w:szCs w:val="20"/>
        </w:rPr>
        <w:t xml:space="preserve"> ostvarenih noćenja po vrsti smještajnog objekta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036"/>
        <w:gridCol w:w="1347"/>
        <w:gridCol w:w="1346"/>
        <w:gridCol w:w="1346"/>
        <w:gridCol w:w="1346"/>
        <w:gridCol w:w="1346"/>
      </w:tblGrid>
      <w:tr w:rsidR="002D0A8A" w:rsidTr="00E37BE8">
        <w:trPr>
          <w:trHeight w:val="473"/>
        </w:trPr>
        <w:tc>
          <w:tcPr>
            <w:tcW w:w="1809" w:type="dxa"/>
            <w:vMerge w:val="restart"/>
          </w:tcPr>
          <w:p w:rsidR="002D0A8A" w:rsidRPr="002D0A8A" w:rsidRDefault="002D0A8A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22"/>
                <w:szCs w:val="22"/>
              </w:rPr>
              <w:t>Vrsta smještajnog objekta</w:t>
            </w:r>
          </w:p>
        </w:tc>
        <w:tc>
          <w:tcPr>
            <w:tcW w:w="3729" w:type="dxa"/>
            <w:gridSpan w:val="3"/>
          </w:tcPr>
          <w:p w:rsidR="002D0A8A" w:rsidRPr="002D0A8A" w:rsidRDefault="002D0A8A" w:rsidP="001144EB">
            <w:pPr>
              <w:jc w:val="center"/>
              <w:rPr>
                <w:rFonts w:ascii="Times New Roman" w:hAnsi="Times New Roman" w:cs="Times New Roman"/>
              </w:rPr>
            </w:pPr>
            <w:r w:rsidRPr="002D0A8A">
              <w:rPr>
                <w:rFonts w:ascii="Times New Roman" w:hAnsi="Times New Roman" w:cs="Times New Roman"/>
              </w:rPr>
              <w:t>Dolasci turista</w:t>
            </w:r>
          </w:p>
        </w:tc>
        <w:tc>
          <w:tcPr>
            <w:tcW w:w="4038" w:type="dxa"/>
            <w:gridSpan w:val="3"/>
          </w:tcPr>
          <w:p w:rsidR="002D0A8A" w:rsidRPr="002D0A8A" w:rsidRDefault="002D0A8A" w:rsidP="002D0A8A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22"/>
                <w:szCs w:val="22"/>
              </w:rPr>
              <w:t>Noćenja turista</w:t>
            </w:r>
          </w:p>
        </w:tc>
      </w:tr>
      <w:tr w:rsidR="001144EB" w:rsidTr="001144EB">
        <w:trPr>
          <w:trHeight w:val="360"/>
        </w:trPr>
        <w:tc>
          <w:tcPr>
            <w:tcW w:w="1809" w:type="dxa"/>
            <w:vMerge/>
          </w:tcPr>
          <w:p w:rsidR="001144EB" w:rsidRDefault="001144EB" w:rsidP="001635A4">
            <w:pPr>
              <w:pStyle w:val="Default"/>
              <w:rPr>
                <w:rStyle w:val="Emphasis"/>
              </w:rPr>
            </w:pPr>
          </w:p>
        </w:tc>
        <w:tc>
          <w:tcPr>
            <w:tcW w:w="1036" w:type="dxa"/>
          </w:tcPr>
          <w:p w:rsidR="001144EB" w:rsidRPr="001144EB" w:rsidRDefault="001144EB" w:rsidP="001144E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sz w:val="16"/>
                <w:szCs w:val="16"/>
              </w:rPr>
            </w:pPr>
            <w:r w:rsidRPr="001144E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Strani</w:t>
            </w:r>
          </w:p>
        </w:tc>
        <w:tc>
          <w:tcPr>
            <w:tcW w:w="1347" w:type="dxa"/>
          </w:tcPr>
          <w:p w:rsidR="001144EB" w:rsidRPr="001144EB" w:rsidRDefault="001144EB" w:rsidP="001144E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144E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Domaći</w:t>
            </w:r>
          </w:p>
        </w:tc>
        <w:tc>
          <w:tcPr>
            <w:tcW w:w="1346" w:type="dxa"/>
          </w:tcPr>
          <w:p w:rsidR="001144EB" w:rsidRDefault="001144EB" w:rsidP="001144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44EB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  <w:p w:rsidR="00CA5639" w:rsidRPr="001144EB" w:rsidRDefault="00CA5639" w:rsidP="001144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(1+2)</w:t>
            </w:r>
          </w:p>
        </w:tc>
        <w:tc>
          <w:tcPr>
            <w:tcW w:w="1346" w:type="dxa"/>
          </w:tcPr>
          <w:p w:rsidR="001144EB" w:rsidRPr="002D0A8A" w:rsidRDefault="002D0A8A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Strani</w:t>
            </w:r>
          </w:p>
        </w:tc>
        <w:tc>
          <w:tcPr>
            <w:tcW w:w="1346" w:type="dxa"/>
          </w:tcPr>
          <w:p w:rsidR="001144EB" w:rsidRPr="002D0A8A" w:rsidRDefault="002D0A8A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Domaći</w:t>
            </w:r>
          </w:p>
        </w:tc>
        <w:tc>
          <w:tcPr>
            <w:tcW w:w="1346" w:type="dxa"/>
          </w:tcPr>
          <w:p w:rsidR="001144EB" w:rsidRDefault="002D0A8A" w:rsidP="001635A4">
            <w:pPr>
              <w:pStyle w:val="Default"/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>Ukupno</w:t>
            </w:r>
          </w:p>
          <w:p w:rsidR="00CA5639" w:rsidRDefault="00CA5639" w:rsidP="001635A4">
            <w:pPr>
              <w:pStyle w:val="Default"/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</w:p>
          <w:p w:rsidR="00CA5639" w:rsidRPr="002D0A8A" w:rsidRDefault="00CA5639" w:rsidP="00CA5639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>(1+2)</w:t>
            </w:r>
          </w:p>
        </w:tc>
      </w:tr>
      <w:tr w:rsidR="001144EB" w:rsidTr="001144EB">
        <w:tc>
          <w:tcPr>
            <w:tcW w:w="1809" w:type="dxa"/>
          </w:tcPr>
          <w:p w:rsidR="001144EB" w:rsidRPr="002D0A8A" w:rsidRDefault="002D0A8A" w:rsidP="001635A4">
            <w:pPr>
              <w:pStyle w:val="Default"/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>Ukupno</w:t>
            </w:r>
          </w:p>
        </w:tc>
        <w:tc>
          <w:tcPr>
            <w:tcW w:w="1036" w:type="dxa"/>
          </w:tcPr>
          <w:p w:rsidR="001144EB" w:rsidRPr="00056296" w:rsidRDefault="001144EB" w:rsidP="00056296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347" w:type="dxa"/>
          </w:tcPr>
          <w:p w:rsidR="001144EB" w:rsidRPr="00056296" w:rsidRDefault="001144EB" w:rsidP="00056296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346" w:type="dxa"/>
          </w:tcPr>
          <w:p w:rsidR="001144EB" w:rsidRPr="00CA5639" w:rsidRDefault="00CA5639" w:rsidP="00C7671B">
            <w:pPr>
              <w:pStyle w:val="Default"/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     </w:t>
            </w:r>
            <w:r w:rsidRPr="00CA5639"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6 </w:t>
            </w:r>
            <w:r w:rsidR="00C7671B"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>456</w:t>
            </w:r>
          </w:p>
        </w:tc>
        <w:tc>
          <w:tcPr>
            <w:tcW w:w="1346" w:type="dxa"/>
          </w:tcPr>
          <w:p w:rsidR="001144EB" w:rsidRDefault="008C216F" w:rsidP="008C0A90">
            <w:pPr>
              <w:pStyle w:val="Default"/>
              <w:rPr>
                <w:rStyle w:val="Emphasis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     </w:t>
            </w:r>
          </w:p>
        </w:tc>
        <w:tc>
          <w:tcPr>
            <w:tcW w:w="1346" w:type="dxa"/>
          </w:tcPr>
          <w:p w:rsidR="001144EB" w:rsidRDefault="008C216F" w:rsidP="008C0A90">
            <w:pPr>
              <w:pStyle w:val="Default"/>
              <w:rPr>
                <w:rStyle w:val="Emphasis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     </w:t>
            </w:r>
          </w:p>
        </w:tc>
        <w:tc>
          <w:tcPr>
            <w:tcW w:w="1346" w:type="dxa"/>
          </w:tcPr>
          <w:p w:rsidR="001144EB" w:rsidRDefault="00CA5639" w:rsidP="00C7671B">
            <w:pPr>
              <w:pStyle w:val="Default"/>
              <w:rPr>
                <w:rStyle w:val="Emphasis"/>
              </w:rPr>
            </w:pPr>
            <w:r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       11 </w:t>
            </w:r>
            <w:r w:rsidR="00C7671B"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>643</w:t>
            </w:r>
          </w:p>
        </w:tc>
      </w:tr>
      <w:tr w:rsidR="001144EB" w:rsidTr="001144EB">
        <w:tc>
          <w:tcPr>
            <w:tcW w:w="1809" w:type="dxa"/>
          </w:tcPr>
          <w:p w:rsidR="001144EB" w:rsidRPr="002D0A8A" w:rsidRDefault="008C0A90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1.</w:t>
            </w:r>
            <w:r w:rsid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O</w:t>
            </w:r>
            <w:r w:rsidR="002D0A8A"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bjekti kolektivnog smještaja </w:t>
            </w:r>
          </w:p>
        </w:tc>
        <w:tc>
          <w:tcPr>
            <w:tcW w:w="1036" w:type="dxa"/>
          </w:tcPr>
          <w:p w:rsidR="001144EB" w:rsidRPr="00E91EB1" w:rsidRDefault="008C0A90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4 3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77</w:t>
            </w:r>
          </w:p>
        </w:tc>
        <w:tc>
          <w:tcPr>
            <w:tcW w:w="1347" w:type="dxa"/>
          </w:tcPr>
          <w:p w:rsidR="001144EB" w:rsidRPr="00E91EB1" w:rsidRDefault="008C0A90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1 7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83</w:t>
            </w:r>
          </w:p>
        </w:tc>
        <w:tc>
          <w:tcPr>
            <w:tcW w:w="1346" w:type="dxa"/>
          </w:tcPr>
          <w:p w:rsidR="001144EB" w:rsidRPr="00CA5639" w:rsidRDefault="008C0A90" w:rsidP="00C7671B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      </w:t>
            </w:r>
            <w:r w:rsidRPr="00CA5639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6 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160</w:t>
            </w:r>
          </w:p>
        </w:tc>
        <w:tc>
          <w:tcPr>
            <w:tcW w:w="1346" w:type="dxa"/>
          </w:tcPr>
          <w:p w:rsidR="001144EB" w:rsidRPr="00E91EB1" w:rsidRDefault="008C0A90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7 1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95</w:t>
            </w:r>
          </w:p>
        </w:tc>
        <w:tc>
          <w:tcPr>
            <w:tcW w:w="1346" w:type="dxa"/>
          </w:tcPr>
          <w:p w:rsidR="001144EB" w:rsidRPr="00E91EB1" w:rsidRDefault="008C0A90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37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85</w:t>
            </w:r>
            <w:r w:rsidR="008C216F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 </w:t>
            </w:r>
          </w:p>
        </w:tc>
        <w:tc>
          <w:tcPr>
            <w:tcW w:w="1346" w:type="dxa"/>
          </w:tcPr>
          <w:p w:rsidR="001144EB" w:rsidRPr="00CA5639" w:rsidRDefault="008C0A90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CA5639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10 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980</w:t>
            </w:r>
          </w:p>
        </w:tc>
      </w:tr>
      <w:tr w:rsidR="001144EB" w:rsidTr="001144EB">
        <w:tc>
          <w:tcPr>
            <w:tcW w:w="1809" w:type="dxa"/>
          </w:tcPr>
          <w:p w:rsidR="001144EB" w:rsidRPr="002D0A8A" w:rsidRDefault="002D0A8A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Hotel</w:t>
            </w:r>
          </w:p>
        </w:tc>
        <w:tc>
          <w:tcPr>
            <w:tcW w:w="1036" w:type="dxa"/>
          </w:tcPr>
          <w:p w:rsidR="001144EB" w:rsidRPr="00E91EB1" w:rsidRDefault="00E91EB1" w:rsidP="00E91EB1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91EB1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1 626</w:t>
            </w:r>
          </w:p>
        </w:tc>
        <w:tc>
          <w:tcPr>
            <w:tcW w:w="1347" w:type="dxa"/>
          </w:tcPr>
          <w:p w:rsidR="001144EB" w:rsidRPr="00E91EB1" w:rsidRDefault="00E91EB1" w:rsidP="00E91EB1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91EB1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1 027</w:t>
            </w:r>
          </w:p>
        </w:tc>
        <w:tc>
          <w:tcPr>
            <w:tcW w:w="1346" w:type="dxa"/>
          </w:tcPr>
          <w:p w:rsidR="001144EB" w:rsidRPr="00E91EB1" w:rsidRDefault="00E91EB1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</w:rPr>
              <w:t xml:space="preserve">    </w:t>
            </w:r>
            <w:r w:rsidRPr="00E91EB1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2 653</w:t>
            </w:r>
          </w:p>
        </w:tc>
        <w:tc>
          <w:tcPr>
            <w:tcW w:w="1346" w:type="dxa"/>
          </w:tcPr>
          <w:p w:rsidR="001144EB" w:rsidRPr="00E91EB1" w:rsidRDefault="00E91EB1" w:rsidP="00E91EB1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91EB1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4 093</w:t>
            </w:r>
          </w:p>
        </w:tc>
        <w:tc>
          <w:tcPr>
            <w:tcW w:w="1346" w:type="dxa"/>
          </w:tcPr>
          <w:p w:rsidR="001144EB" w:rsidRPr="00E91EB1" w:rsidRDefault="00E91EB1" w:rsidP="00E91EB1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91EB1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2 855</w:t>
            </w:r>
          </w:p>
        </w:tc>
        <w:tc>
          <w:tcPr>
            <w:tcW w:w="1346" w:type="dxa"/>
          </w:tcPr>
          <w:p w:rsidR="001144EB" w:rsidRPr="00E91EB1" w:rsidRDefault="00E91EB1" w:rsidP="00E91EB1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91EB1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6 948</w:t>
            </w:r>
          </w:p>
        </w:tc>
      </w:tr>
      <w:tr w:rsidR="001144EB" w:rsidTr="001144EB">
        <w:tc>
          <w:tcPr>
            <w:tcW w:w="1809" w:type="dxa"/>
          </w:tcPr>
          <w:p w:rsidR="001144EB" w:rsidRPr="002D0A8A" w:rsidRDefault="002D0A8A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Garni hotel</w:t>
            </w:r>
          </w:p>
        </w:tc>
        <w:tc>
          <w:tcPr>
            <w:tcW w:w="1036" w:type="dxa"/>
          </w:tcPr>
          <w:p w:rsidR="001144EB" w:rsidRPr="004D1F4A" w:rsidRDefault="004D1F4A" w:rsidP="004D1F4A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4D1F4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2 107</w:t>
            </w:r>
          </w:p>
        </w:tc>
        <w:tc>
          <w:tcPr>
            <w:tcW w:w="1347" w:type="dxa"/>
          </w:tcPr>
          <w:p w:rsidR="001144EB" w:rsidRPr="004D1F4A" w:rsidRDefault="004D1F4A" w:rsidP="004D1F4A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4D1F4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461</w:t>
            </w:r>
          </w:p>
        </w:tc>
        <w:tc>
          <w:tcPr>
            <w:tcW w:w="1346" w:type="dxa"/>
          </w:tcPr>
          <w:p w:rsidR="001144EB" w:rsidRPr="004D1F4A" w:rsidRDefault="00A505A2" w:rsidP="00A505A2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    2 568</w:t>
            </w:r>
          </w:p>
        </w:tc>
        <w:tc>
          <w:tcPr>
            <w:tcW w:w="1346" w:type="dxa"/>
          </w:tcPr>
          <w:p w:rsidR="001144EB" w:rsidRPr="004D1F4A" w:rsidRDefault="004D1F4A" w:rsidP="004D1F4A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4D1F4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2 315</w:t>
            </w:r>
          </w:p>
        </w:tc>
        <w:tc>
          <w:tcPr>
            <w:tcW w:w="1346" w:type="dxa"/>
          </w:tcPr>
          <w:p w:rsidR="001144EB" w:rsidRPr="004D1F4A" w:rsidRDefault="008C0A90" w:rsidP="004D1F4A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</w:t>
            </w:r>
            <w:r w:rsidR="004D1F4A" w:rsidRPr="004D1F4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590</w:t>
            </w:r>
          </w:p>
        </w:tc>
        <w:tc>
          <w:tcPr>
            <w:tcW w:w="1346" w:type="dxa"/>
          </w:tcPr>
          <w:p w:rsidR="001144EB" w:rsidRPr="00A505A2" w:rsidRDefault="00A505A2" w:rsidP="00A505A2">
            <w:pPr>
              <w:pStyle w:val="Default"/>
              <w:jc w:val="center"/>
              <w:rPr>
                <w:rStyle w:val="Emphasis"/>
                <w:i w:val="0"/>
                <w:sz w:val="16"/>
                <w:szCs w:val="16"/>
              </w:rPr>
            </w:pPr>
            <w:r w:rsidRPr="00A505A2">
              <w:rPr>
                <w:rStyle w:val="Emphasis"/>
                <w:i w:val="0"/>
                <w:sz w:val="16"/>
                <w:szCs w:val="16"/>
              </w:rPr>
              <w:t>2 905</w:t>
            </w:r>
          </w:p>
        </w:tc>
      </w:tr>
      <w:tr w:rsidR="001144EB" w:rsidTr="001144EB">
        <w:tc>
          <w:tcPr>
            <w:tcW w:w="1809" w:type="dxa"/>
          </w:tcPr>
          <w:p w:rsidR="001144EB" w:rsidRPr="002D0A8A" w:rsidRDefault="002D0A8A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Mali hotel</w:t>
            </w:r>
          </w:p>
        </w:tc>
        <w:tc>
          <w:tcPr>
            <w:tcW w:w="1036" w:type="dxa"/>
          </w:tcPr>
          <w:p w:rsidR="001144EB" w:rsidRPr="008C216F" w:rsidRDefault="00C7671B" w:rsidP="008C216F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644</w:t>
            </w:r>
          </w:p>
        </w:tc>
        <w:tc>
          <w:tcPr>
            <w:tcW w:w="1347" w:type="dxa"/>
          </w:tcPr>
          <w:p w:rsidR="001144EB" w:rsidRPr="008C216F" w:rsidRDefault="00C7671B" w:rsidP="008C216F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295</w:t>
            </w:r>
          </w:p>
        </w:tc>
        <w:tc>
          <w:tcPr>
            <w:tcW w:w="1346" w:type="dxa"/>
          </w:tcPr>
          <w:p w:rsidR="001144EB" w:rsidRPr="008C216F" w:rsidRDefault="008C0A90" w:rsidP="008C0A90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       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939</w:t>
            </w:r>
          </w:p>
        </w:tc>
        <w:tc>
          <w:tcPr>
            <w:tcW w:w="1346" w:type="dxa"/>
          </w:tcPr>
          <w:p w:rsidR="001144EB" w:rsidRPr="008C216F" w:rsidRDefault="008C0A90" w:rsidP="008C216F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787</w:t>
            </w:r>
          </w:p>
        </w:tc>
        <w:tc>
          <w:tcPr>
            <w:tcW w:w="1346" w:type="dxa"/>
          </w:tcPr>
          <w:p w:rsidR="001144EB" w:rsidRPr="008C216F" w:rsidRDefault="008C0A90" w:rsidP="008C216F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340</w:t>
            </w:r>
          </w:p>
        </w:tc>
        <w:tc>
          <w:tcPr>
            <w:tcW w:w="1346" w:type="dxa"/>
          </w:tcPr>
          <w:p w:rsidR="001144EB" w:rsidRPr="008C216F" w:rsidRDefault="008C216F" w:rsidP="00C7671B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8C216F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1 </w:t>
            </w:r>
            <w:r w:rsidR="00C7671B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127</w:t>
            </w:r>
          </w:p>
        </w:tc>
      </w:tr>
      <w:tr w:rsidR="001144EB" w:rsidRPr="002D0A8A" w:rsidTr="001144EB">
        <w:tc>
          <w:tcPr>
            <w:tcW w:w="1809" w:type="dxa"/>
          </w:tcPr>
          <w:p w:rsidR="001144EB" w:rsidRPr="002D0A8A" w:rsidRDefault="008C0A90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2. </w:t>
            </w:r>
            <w:r w:rsidR="002D0A8A" w:rsidRPr="002D0A8A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individualni turisticki smjestaj</w:t>
            </w:r>
          </w:p>
        </w:tc>
        <w:tc>
          <w:tcPr>
            <w:tcW w:w="1036" w:type="dxa"/>
          </w:tcPr>
          <w:p w:rsidR="001144EB" w:rsidRPr="002D0A8A" w:rsidRDefault="001144EB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</w:rPr>
            </w:pPr>
          </w:p>
        </w:tc>
        <w:tc>
          <w:tcPr>
            <w:tcW w:w="1347" w:type="dxa"/>
          </w:tcPr>
          <w:p w:rsidR="001144EB" w:rsidRPr="002D0A8A" w:rsidRDefault="001144EB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</w:rPr>
            </w:pPr>
          </w:p>
        </w:tc>
        <w:tc>
          <w:tcPr>
            <w:tcW w:w="1346" w:type="dxa"/>
          </w:tcPr>
          <w:p w:rsidR="001144EB" w:rsidRPr="00CA5639" w:rsidRDefault="00CA5639" w:rsidP="00CA5639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 xml:space="preserve">          </w:t>
            </w:r>
            <w:r w:rsidRPr="00CA5639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296</w:t>
            </w:r>
          </w:p>
        </w:tc>
        <w:tc>
          <w:tcPr>
            <w:tcW w:w="1346" w:type="dxa"/>
          </w:tcPr>
          <w:p w:rsidR="001144EB" w:rsidRPr="002D0A8A" w:rsidRDefault="001144EB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</w:rPr>
            </w:pPr>
          </w:p>
        </w:tc>
        <w:tc>
          <w:tcPr>
            <w:tcW w:w="1346" w:type="dxa"/>
          </w:tcPr>
          <w:p w:rsidR="001144EB" w:rsidRPr="002D0A8A" w:rsidRDefault="001144EB" w:rsidP="001635A4">
            <w:pPr>
              <w:pStyle w:val="Default"/>
              <w:rPr>
                <w:rStyle w:val="Emphasis"/>
                <w:rFonts w:ascii="Times New Roman" w:hAnsi="Times New Roman" w:cs="Times New Roman"/>
                <w:i w:val="0"/>
              </w:rPr>
            </w:pPr>
          </w:p>
        </w:tc>
        <w:tc>
          <w:tcPr>
            <w:tcW w:w="1346" w:type="dxa"/>
          </w:tcPr>
          <w:p w:rsidR="001144EB" w:rsidRPr="00CA5639" w:rsidRDefault="00CA5639" w:rsidP="00CA5639">
            <w:pPr>
              <w:pStyle w:val="Default"/>
              <w:jc w:val="center"/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CA5639">
              <w:rPr>
                <w:rStyle w:val="Emphasis"/>
                <w:rFonts w:ascii="Times New Roman" w:hAnsi="Times New Roman" w:cs="Times New Roman"/>
                <w:i w:val="0"/>
                <w:sz w:val="16"/>
                <w:szCs w:val="16"/>
              </w:rPr>
              <w:t>663</w:t>
            </w:r>
          </w:p>
        </w:tc>
      </w:tr>
    </w:tbl>
    <w:p w:rsidR="00CD2A0B" w:rsidRPr="00764B40" w:rsidRDefault="00514B5B" w:rsidP="001635A4">
      <w:pPr>
        <w:pStyle w:val="Default"/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</w:pP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Napomena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: U tabeli nisu obuhvaćeni podaci od pojedinih hotela jer nisu dostavljeni Turističkoj organizaciji Bijelo Polje od strane istih.</w:t>
      </w:r>
      <w:r w:rsidR="00CA5639" w:rsidRPr="00764B40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Što se tiče podataka za individulani smjestaj oni se odnose na seoska domaćinstva koja su nam dostavila tražene podatke i vlasnike soba za iznajmljivanje i apartmane .</w:t>
      </w:r>
    </w:p>
    <w:p w:rsidR="00514B5B" w:rsidRPr="00514B5B" w:rsidRDefault="00514B5B" w:rsidP="001635A4">
      <w:pPr>
        <w:pStyle w:val="Default"/>
        <w:rPr>
          <w:rStyle w:val="Emphasis"/>
          <w:rFonts w:ascii="Times New Roman" w:hAnsi="Times New Roman" w:cs="Times New Roman"/>
          <w:i w:val="0"/>
          <w:lang w:val="sr-Latn-RS"/>
        </w:rPr>
      </w:pPr>
    </w:p>
    <w:tbl>
      <w:tblPr>
        <w:tblpPr w:leftFromText="180" w:rightFromText="180" w:vertAnchor="text" w:horzAnchor="page" w:tblpX="1991" w:tblpY="19"/>
        <w:tblW w:w="8222" w:type="dxa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134"/>
        <w:gridCol w:w="1134"/>
        <w:gridCol w:w="1134"/>
        <w:gridCol w:w="1134"/>
      </w:tblGrid>
      <w:tr w:rsidR="00CC7BF8" w:rsidRPr="00B3654C" w:rsidTr="00CD2A0B">
        <w:trPr>
          <w:trHeight w:val="568"/>
        </w:trPr>
        <w:tc>
          <w:tcPr>
            <w:tcW w:w="82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CC7BF8" w:rsidRPr="00EB2243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Ukupan broj dolazaka turista i ostvarenih noćenja u opštini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 xml:space="preserve">(kolektivni smještaj) u 2023.godini </w:t>
            </w:r>
          </w:p>
        </w:tc>
      </w:tr>
      <w:tr w:rsidR="00CC7BF8" w:rsidRPr="00B3654C" w:rsidTr="00CD2A0B">
        <w:trPr>
          <w:trHeight w:val="6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Period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C7BF8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2022.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C7BF8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2022.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C7BF8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 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CC7BF8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</w:tcPr>
          <w:p w:rsidR="00CC7BF8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</w:tcPr>
          <w:p w:rsidR="00CC7BF8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noćenja</w:t>
            </w:r>
          </w:p>
        </w:tc>
      </w:tr>
      <w:tr w:rsidR="00CC7BF8" w:rsidRPr="00B3654C" w:rsidTr="00CD2A0B">
        <w:trPr>
          <w:trHeight w:val="2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januar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161,56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februar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114,09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128,05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april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94,65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74,82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    865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 68,29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89,08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72,38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 75,91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avgust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 78,38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73,88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septembar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57,96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oktobar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111,29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61,77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novembar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7BF8" w:rsidRPr="00BA78EF" w:rsidRDefault="0078656D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Latn-RS" w:eastAsia="en-GB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C7BF8" w:rsidRPr="00B3654C" w:rsidRDefault="0078656D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0161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CC7BF8" w:rsidRPr="00B3654C" w:rsidRDefault="000161DF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58,24</w:t>
            </w:r>
          </w:p>
        </w:tc>
      </w:tr>
      <w:tr w:rsidR="00CC7BF8" w:rsidRPr="00B3654C" w:rsidTr="00CD2A0B">
        <w:trPr>
          <w:trHeight w:val="32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decembar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BF8" w:rsidRPr="00B3654C" w:rsidRDefault="007A78C9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7BF8" w:rsidRPr="00B3654C" w:rsidRDefault="007A78C9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7BF8" w:rsidRPr="00B3654C" w:rsidRDefault="007A78C9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C7BF8" w:rsidRPr="00B3654C" w:rsidRDefault="007A78C9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126,50</w:t>
            </w:r>
          </w:p>
        </w:tc>
      </w:tr>
      <w:tr w:rsidR="00CC7BF8" w:rsidRPr="00B3654C" w:rsidTr="00CD2A0B">
        <w:trPr>
          <w:trHeight w:val="34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BF8" w:rsidRPr="002B3C1B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4 894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BF8" w:rsidRPr="002B3C1B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10 614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BF8" w:rsidRPr="00752B51" w:rsidRDefault="007A78C9" w:rsidP="00786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4 147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CC7BF8" w:rsidRPr="00752B51" w:rsidRDefault="00CC7BF8" w:rsidP="007A78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78656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8 </w:t>
            </w:r>
            <w:r w:rsidR="007A78C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</w:tcPr>
          <w:p w:rsidR="00CC7BF8" w:rsidRPr="00CC01BE" w:rsidRDefault="007A78C9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85,82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</w:tcPr>
          <w:p w:rsidR="00CC7BF8" w:rsidRPr="003A36B2" w:rsidRDefault="007A78C9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83,44</w:t>
            </w:r>
          </w:p>
        </w:tc>
      </w:tr>
      <w:tr w:rsidR="00CC7BF8" w:rsidRPr="00B3654C" w:rsidTr="00CD2A0B">
        <w:trPr>
          <w:trHeight w:val="3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</w:tcPr>
          <w:p w:rsidR="00CC7BF8" w:rsidRPr="00B3654C" w:rsidRDefault="00CC7BF8" w:rsidP="00CD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</w:tcPr>
          <w:p w:rsidR="00CC7BF8" w:rsidRPr="00B3654C" w:rsidRDefault="00CC7BF8" w:rsidP="007A7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</w:tcPr>
          <w:p w:rsidR="00CC7BF8" w:rsidRPr="00B3654C" w:rsidRDefault="00CC7BF8" w:rsidP="00CD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CC7BF8" w:rsidRDefault="00CC7BF8" w:rsidP="00CC7BF8"/>
    <w:p w:rsidR="00CC7BF8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Pr="009824EB" w:rsidRDefault="00CC7BF8" w:rsidP="00CC7BF8"/>
    <w:p w:rsidR="00CC7BF8" w:rsidRDefault="00CC7BF8" w:rsidP="00CC7BF8">
      <w:pPr>
        <w:rPr>
          <w:rFonts w:ascii="Times New Roman" w:hAnsi="Times New Roman" w:cs="Times New Roman"/>
        </w:rPr>
      </w:pPr>
    </w:p>
    <w:p w:rsidR="001635A4" w:rsidRDefault="001635A4" w:rsidP="001635A4">
      <w:pPr>
        <w:pStyle w:val="Default"/>
        <w:rPr>
          <w:rStyle w:val="Emphasis"/>
        </w:rPr>
      </w:pPr>
    </w:p>
    <w:p w:rsidR="004A1BAA" w:rsidRDefault="004A1BAA" w:rsidP="001635A4">
      <w:pPr>
        <w:pStyle w:val="Default"/>
        <w:rPr>
          <w:rStyle w:val="Emphasis"/>
        </w:rPr>
      </w:pPr>
    </w:p>
    <w:p w:rsidR="004A1BAA" w:rsidRDefault="004A1BAA" w:rsidP="001635A4">
      <w:pPr>
        <w:pStyle w:val="Default"/>
        <w:rPr>
          <w:rStyle w:val="Emphasis"/>
        </w:rPr>
      </w:pPr>
    </w:p>
    <w:p w:rsidR="004A1BAA" w:rsidRPr="007062B8" w:rsidRDefault="004A1BAA" w:rsidP="001635A4">
      <w:pPr>
        <w:pStyle w:val="Default"/>
        <w:rPr>
          <w:rStyle w:val="Emphasis"/>
        </w:rPr>
      </w:pPr>
    </w:p>
    <w:p w:rsidR="001635A4" w:rsidRDefault="001635A4" w:rsidP="001635A4"/>
    <w:p w:rsidR="00E67910" w:rsidRDefault="00E67910" w:rsidP="001635A4"/>
    <w:p w:rsidR="00E67910" w:rsidRDefault="00E67910" w:rsidP="00E67910">
      <w:pPr>
        <w:jc w:val="center"/>
        <w:rPr>
          <w:b/>
          <w:lang w:val="sr-Latn-RS"/>
        </w:rPr>
      </w:pPr>
      <w:r>
        <w:rPr>
          <w:b/>
        </w:rPr>
        <w:lastRenderedPageBreak/>
        <w:t>Broj dola</w:t>
      </w:r>
      <w:r>
        <w:rPr>
          <w:b/>
          <w:lang w:val="sr-Latn-RS"/>
        </w:rPr>
        <w:t>zaka i ostvarenih noćenja po zemlji pripadnosti turista</w:t>
      </w:r>
    </w:p>
    <w:tbl>
      <w:tblPr>
        <w:tblW w:w="10455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718"/>
        <w:gridCol w:w="797"/>
        <w:gridCol w:w="649"/>
        <w:gridCol w:w="797"/>
        <w:gridCol w:w="848"/>
        <w:gridCol w:w="1011"/>
        <w:gridCol w:w="972"/>
        <w:gridCol w:w="730"/>
        <w:gridCol w:w="640"/>
        <w:gridCol w:w="777"/>
        <w:gridCol w:w="708"/>
        <w:gridCol w:w="709"/>
      </w:tblGrid>
      <w:tr w:rsidR="00E67910" w:rsidTr="00E67910">
        <w:tc>
          <w:tcPr>
            <w:tcW w:w="1099" w:type="dxa"/>
            <w:vMerge w:val="restart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B4C6E7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Naziv zemlje pripadnosti</w:t>
            </w:r>
          </w:p>
        </w:tc>
        <w:tc>
          <w:tcPr>
            <w:tcW w:w="718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Dolasci turista u opštini u 2022.</w:t>
            </w:r>
          </w:p>
        </w:tc>
        <w:tc>
          <w:tcPr>
            <w:tcW w:w="797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Ostvarena noćenja u opštini 2022. </w:t>
            </w:r>
          </w:p>
        </w:tc>
        <w:tc>
          <w:tcPr>
            <w:tcW w:w="649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Dolasci turista u opštini u 2023.</w:t>
            </w:r>
          </w:p>
        </w:tc>
        <w:tc>
          <w:tcPr>
            <w:tcW w:w="797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Ostvarena noćenja u opštini 2023.</w:t>
            </w:r>
          </w:p>
        </w:tc>
        <w:tc>
          <w:tcPr>
            <w:tcW w:w="848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Prosj.dužina boravka u danima u 2022. </w:t>
            </w:r>
          </w:p>
        </w:tc>
        <w:tc>
          <w:tcPr>
            <w:tcW w:w="1011" w:type="dxa"/>
            <w:vMerge w:val="restar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  <w:p w:rsidR="00E67910" w:rsidRDefault="00E67910">
            <w:pPr>
              <w:spacing w:line="254" w:lineRule="auto"/>
              <w:rPr>
                <w:rFonts w:ascii="Arial Narrow" w:eastAsia="Calibri" w:hAnsi="Arial Narrow" w:cs="Times New Roman"/>
                <w:sz w:val="14"/>
                <w:lang w:val="sr-Latn-RS"/>
              </w:rPr>
            </w:pPr>
            <w:r>
              <w:rPr>
                <w:rFonts w:ascii="Arial Narrow" w:eastAsia="Calibri" w:hAnsi="Arial Narrow" w:cs="Times New Roman"/>
                <w:sz w:val="14"/>
                <w:lang w:val="sr-Latn-RS"/>
              </w:rPr>
              <w:t>Prosj.duzina boravka u  danima  u 2023.</w:t>
            </w:r>
          </w:p>
        </w:tc>
        <w:tc>
          <w:tcPr>
            <w:tcW w:w="1702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Struktura u % u 2022.</w:t>
            </w:r>
          </w:p>
        </w:tc>
        <w:tc>
          <w:tcPr>
            <w:tcW w:w="1417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  <w:lang w:val="sr-Latn-RS"/>
              </w:rPr>
            </w:pPr>
            <w:proofErr w:type="gramStart"/>
            <w:r>
              <w:rPr>
                <w:rFonts w:ascii="Arial Narrow" w:eastAsia="Calibri" w:hAnsi="Arial Narrow" w:cs="Times New Roman"/>
                <w:sz w:val="14"/>
              </w:rPr>
              <w:t>struktura</w:t>
            </w:r>
            <w:proofErr w:type="gramEnd"/>
            <w:r>
              <w:rPr>
                <w:rFonts w:ascii="Arial Narrow" w:eastAsia="Calibri" w:hAnsi="Arial Narrow" w:cs="Times New Roman"/>
                <w:sz w:val="14"/>
              </w:rPr>
              <w:t xml:space="preserve"> u </w:t>
            </w:r>
            <w:r>
              <w:rPr>
                <w:rFonts w:ascii="Arial Narrow" w:eastAsia="Calibri" w:hAnsi="Arial Narrow" w:cs="Times New Roman"/>
                <w:sz w:val="14"/>
                <w:lang w:val="sr-Latn-RS"/>
              </w:rPr>
              <w:t>% u 2023.</w:t>
            </w:r>
          </w:p>
        </w:tc>
        <w:tc>
          <w:tcPr>
            <w:tcW w:w="1417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indexi</w:t>
            </w:r>
          </w:p>
        </w:tc>
      </w:tr>
      <w:tr w:rsidR="00E67910" w:rsidTr="00E67910">
        <w:trPr>
          <w:trHeight w:val="569"/>
        </w:trPr>
        <w:tc>
          <w:tcPr>
            <w:tcW w:w="1099" w:type="dxa"/>
            <w:vMerge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</w:p>
        </w:tc>
        <w:tc>
          <w:tcPr>
            <w:tcW w:w="718" w:type="dxa"/>
            <w:vMerge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Merge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vMerge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Merge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vMerge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vMerge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40" w:lineRule="auto"/>
              <w:rPr>
                <w:rFonts w:ascii="Arial Narrow" w:eastAsia="Calibri" w:hAnsi="Arial Narrow" w:cs="Times New Roman"/>
                <w:sz w:val="14"/>
                <w:lang w:val="sr-Latn-RS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</w:tr>
      <w:tr w:rsidR="00E67910" w:rsidTr="00E67910">
        <w:trPr>
          <w:trHeight w:val="45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EVROPA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Albanija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10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151 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11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15,1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0,104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1,26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1,52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1 000 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1 372,72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Austrija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34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222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22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267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6,52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12,13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3,90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2,11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2,55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2,48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8F5A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64,70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 w:rsidP="008F5A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8F5AE5">
              <w:rPr>
                <w:rFonts w:ascii="Arial Narrow" w:eastAsia="Calibri" w:hAnsi="Arial Narrow" w:cs="Times New Roman"/>
                <w:sz w:val="14"/>
              </w:rPr>
              <w:t>120,27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Belgija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192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 59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5,81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11,8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0,11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1,82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0,63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0,59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15,15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30,72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Bjelorusija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411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13,66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0,40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 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Bosna i Hercegovina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128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1 317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125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1 547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10,28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12,45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14,69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2,55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14,64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14,59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90,62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109,71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Bugarska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4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</w:t>
            </w:r>
            <w:r w:rsidR="00E02336" w:rsidRPr="008F5AE5">
              <w:rPr>
                <w:rFonts w:ascii="Arial Narrow" w:eastAsia="Calibri" w:hAnsi="Arial Narrow" w:cs="Times New Roman"/>
                <w:b/>
                <w:sz w:val="14"/>
              </w:rPr>
              <w:t>0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14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1,25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0,13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0,05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400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35,71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Češka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Danska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2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9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105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11,33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11,75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1,033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0,97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1,01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0,94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88,88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4 700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Estonija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Finska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 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Francuska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15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324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13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194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21,5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14,9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1,72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3,08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1,64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1,95  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6,66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59,87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Grčka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Holandija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30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393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33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39</w:t>
            </w:r>
            <w:r w:rsidR="00E67910" w:rsidRPr="008F5AE5">
              <w:rPr>
                <w:rFonts w:ascii="Arial Narrow" w:eastAsia="Calibri" w:hAnsi="Arial Narrow" w:cs="Times New Roman"/>
                <w:b/>
                <w:sz w:val="14"/>
              </w:rPr>
              <w:t>2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13,1 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11,6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3,44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3,74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4,04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3,75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106,66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94,65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 xml:space="preserve">Hrvatska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28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204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36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516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7,28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13,9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3,21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2,04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3,78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4,21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107,14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204,41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Irska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Island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Italija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  13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6,5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0,13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Kipar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Kosovo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694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24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287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16,52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12,6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4,82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6,61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2,65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2,67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50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38,18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Letonija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45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Litvanija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19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Luksemburg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6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125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8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26</w:t>
            </w:r>
          </w:p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20,83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2,8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8,68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1,19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0,63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0,14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83,33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11,2</w:t>
            </w:r>
          </w:p>
        </w:tc>
      </w:tr>
      <w:tr w:rsidR="00E67910" w:rsidTr="00E67910">
        <w:trPr>
          <w:trHeight w:val="260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Mađarska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rPr>
                <w:b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rPr>
                <w:b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0,08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</w:pPr>
          </w:p>
        </w:tc>
      </w:tr>
      <w:tr w:rsidR="00E67910" w:rsidTr="00E67910">
        <w:trPr>
          <w:trHeight w:val="14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Malta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224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Makedonija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11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78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9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85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7,09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10,25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1,26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0,74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1,76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0,82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72,72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105,12</w:t>
            </w:r>
          </w:p>
        </w:tc>
      </w:tr>
      <w:tr w:rsidR="00E67910" w:rsidTr="00E02336">
        <w:trPr>
          <w:trHeight w:val="72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Norveška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17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161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8</w:t>
            </w:r>
            <w:r w:rsidR="00E67910" w:rsidRPr="008F5AE5">
              <w:rPr>
                <w:rFonts w:ascii="Arial Narrow" w:eastAsia="Calibri" w:hAnsi="Arial Narrow" w:cs="Times New Roman"/>
                <w:b/>
                <w:sz w:val="14"/>
              </w:rPr>
              <w:t>3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9,47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5,2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1,95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6,11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12,24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0,73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82,35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45,34</w:t>
            </w:r>
          </w:p>
        </w:tc>
      </w:tr>
      <w:tr w:rsidR="00E67910" w:rsidTr="00E67910">
        <w:trPr>
          <w:trHeight w:val="22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Njemačka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119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1 463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 w:rsidP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105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1 268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12,29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12,5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13,66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13,94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12,24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12,27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81,51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83,04</w:t>
            </w:r>
          </w:p>
        </w:tc>
      </w:tr>
      <w:tr w:rsidR="00E67910" w:rsidTr="00E67910">
        <w:trPr>
          <w:trHeight w:val="25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Poljska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4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7,33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0,20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0,04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33,33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18,18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Portugal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02336">
        <w:trPr>
          <w:trHeight w:val="43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Rumunija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57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Rusija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84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1 392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 w:rsidP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75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1 222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16,57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16,11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9,64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13,26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8,83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11,39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83,33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81,03</w:t>
            </w:r>
          </w:p>
        </w:tc>
      </w:tr>
      <w:tr w:rsidR="00E67910" w:rsidTr="00E02336">
        <w:trPr>
          <w:trHeight w:val="91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Slovačka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</w:pPr>
          </w:p>
        </w:tc>
      </w:tr>
      <w:tr w:rsidR="00E67910" w:rsidTr="00E02336">
        <w:trPr>
          <w:trHeight w:val="50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Slovenija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47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431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 w:rsidP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50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540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9,17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10,9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5,39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4,10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6,06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5,3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102,12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121,80</w:t>
            </w:r>
          </w:p>
        </w:tc>
      </w:tr>
      <w:tr w:rsidR="00E67910" w:rsidTr="00E02336">
        <w:trPr>
          <w:trHeight w:val="436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Srbija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2 010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 w:rsidP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190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2 433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13,13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12,7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0,011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19,15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21,84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22,34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1 131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110,04</w:t>
            </w:r>
          </w:p>
        </w:tc>
      </w:tr>
      <w:tr w:rsidR="00E67910" w:rsidTr="00E67910">
        <w:trPr>
          <w:trHeight w:val="366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Španija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11,00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0,10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0,12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0.06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54,54</w:t>
            </w:r>
          </w:p>
        </w:tc>
      </w:tr>
      <w:tr w:rsidR="00E67910" w:rsidTr="00E67910">
        <w:trPr>
          <w:trHeight w:val="269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Švajcarska i Linherštajn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117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16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141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10,63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8,8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1,26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1,11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6E1E71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1,85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6E1E71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1,31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145,45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120,51</w:t>
            </w:r>
          </w:p>
        </w:tc>
      </w:tr>
      <w:tr w:rsidR="00E67910" w:rsidTr="00E67910">
        <w:trPr>
          <w:trHeight w:val="31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Švedska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36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363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60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785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10,08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13,08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4,13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3,45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6,96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7,30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166,66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6E1E71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216,25</w:t>
            </w:r>
          </w:p>
        </w:tc>
      </w:tr>
      <w:tr w:rsidR="00E67910" w:rsidTr="00E67910">
        <w:trPr>
          <w:trHeight w:val="280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Turska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273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0233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17</w:t>
            </w:r>
            <w:r w:rsidR="00E67910" w:rsidRPr="008F5AE5">
              <w:rPr>
                <w:rFonts w:ascii="Arial Narrow" w:eastAsia="Calibri" w:hAnsi="Arial Narrow" w:cs="Times New Roman"/>
                <w:b/>
                <w:sz w:val="14"/>
              </w:rPr>
              <w:t>5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14,36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13,46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2,18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2,60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1,50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1,62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68,42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64,10</w:t>
            </w:r>
          </w:p>
        </w:tc>
      </w:tr>
      <w:tr w:rsidR="00E67910" w:rsidTr="00E67910">
        <w:trPr>
          <w:trHeight w:val="142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Ukrajina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  81 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6E1E71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3,1</w:t>
            </w:r>
            <w:r w:rsidR="00E67910"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16,2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0,68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0,09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6E1E71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0,58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6E1E71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0,75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83,33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426,31</w:t>
            </w:r>
          </w:p>
        </w:tc>
      </w:tr>
      <w:tr w:rsidR="00E67910" w:rsidTr="00E67910">
        <w:trPr>
          <w:trHeight w:val="132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Velika Britanija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50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    3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16,66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 0,34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0,47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0,12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0,03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33,33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6,00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Ostale evropske zemlje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8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0,12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0,08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F7CAA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VANEVROPSKE ZEMLJE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Južna Afrika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   24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0,25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0,24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260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Ostale afričke zemlje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4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0,12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0,04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5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Kanada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7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98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25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0,45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0,95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0,88    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0,98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175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98</w:t>
            </w:r>
          </w:p>
        </w:tc>
      </w:tr>
      <w:tr w:rsidR="00E67910" w:rsidTr="00E67910">
        <w:trPr>
          <w:trHeight w:val="214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SAD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242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Pr="008F5AE5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 xml:space="preserve">    88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18,61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17,6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1,49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2,30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0,63 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0,88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38,46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36,36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 xml:space="preserve">Ostale zemlje </w:t>
            </w: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lastRenderedPageBreak/>
              <w:t>Sjeverne Amerike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lastRenderedPageBreak/>
              <w:t>Argentina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Brazil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Čile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777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Južne i Srednje Amerike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44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5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10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14,66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0,41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0,63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0,10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  <w:p w:rsidR="00E67910" w:rsidRDefault="00E67910">
            <w:pPr>
              <w:spacing w:line="256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166,66</w:t>
            </w: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22,72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Kina i Hong Kong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E67910" w:rsidTr="00E67910">
        <w:trPr>
          <w:trHeight w:val="234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Japan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 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Korea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Izrael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Indija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Azerbejdžan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67910" w:rsidRDefault="00E6791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Ostale Azijske zemlje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47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Pr="008F5AE5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 w:rsidRPr="008F5AE5">
              <w:rPr>
                <w:rFonts w:ascii="Arial Narrow" w:eastAsia="Calibri" w:hAnsi="Arial Narrow" w:cs="Times New Roman"/>
                <w:b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7,83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0,68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0,44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0,37</w:t>
            </w: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0,06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7910" w:rsidRDefault="00E6791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  <w:sz w:val="16"/>
                <w:szCs w:val="16"/>
              </w:rPr>
              <w:t>12,76</w:t>
            </w:r>
          </w:p>
        </w:tc>
      </w:tr>
      <w:tr w:rsidR="00E67910" w:rsidTr="00E67910"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Australija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39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19,5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</w:t>
            </w: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0,22</w:t>
            </w: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0,37</w:t>
            </w: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E67910" w:rsidRDefault="00E6791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E67910" w:rsidTr="00E67910">
        <w:trPr>
          <w:trHeight w:val="129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Novi Zeland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E36C0A" w:themeColor="accent6" w:themeShade="BF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</w:rPr>
              <w:t xml:space="preserve">     </w:t>
            </w:r>
          </w:p>
        </w:tc>
      </w:tr>
      <w:tr w:rsidR="00E67910" w:rsidTr="00E67910">
        <w:trPr>
          <w:trHeight w:val="40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E67910" w:rsidRDefault="00E6791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Okeanije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4B083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E36C0A" w:themeColor="accent6" w:themeShade="BF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</w:rPr>
              <w:t xml:space="preserve">   </w:t>
            </w:r>
          </w:p>
        </w:tc>
      </w:tr>
      <w:tr w:rsidR="00E67910" w:rsidTr="00E67910">
        <w:trPr>
          <w:trHeight w:val="88"/>
        </w:trPr>
        <w:tc>
          <w:tcPr>
            <w:tcW w:w="1099" w:type="dxa"/>
            <w:tcBorders>
              <w:top w:val="single" w:sz="2" w:space="0" w:color="666666"/>
              <w:left w:val="single" w:sz="4" w:space="0" w:color="auto"/>
              <w:bottom w:val="single" w:sz="4" w:space="0" w:color="auto"/>
              <w:right w:val="single" w:sz="2" w:space="0" w:color="666666"/>
            </w:tcBorders>
            <w:shd w:val="clear" w:color="auto" w:fill="FFE599"/>
            <w:hideMark/>
          </w:tcPr>
          <w:p w:rsidR="00E67910" w:rsidRDefault="00E67910">
            <w:pPr>
              <w:spacing w:after="0" w:line="276" w:lineRule="auto"/>
              <w:contextualSpacing/>
              <w:jc w:val="right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14"/>
              </w:rPr>
              <w:t>UKUPNO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872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10 670</w:t>
            </w:r>
          </w:p>
        </w:tc>
        <w:tc>
          <w:tcPr>
            <w:tcW w:w="649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E67910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862</w:t>
            </w:r>
          </w:p>
        </w:tc>
        <w:tc>
          <w:tcPr>
            <w:tcW w:w="797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E67910" w:rsidRDefault="00E0233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10 746</w:t>
            </w:r>
          </w:p>
        </w:tc>
        <w:tc>
          <w:tcPr>
            <w:tcW w:w="84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E67910" w:rsidRDefault="008F5AE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12,46</w:t>
            </w:r>
          </w:p>
        </w:tc>
        <w:tc>
          <w:tcPr>
            <w:tcW w:w="1011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67910" w:rsidRDefault="00E679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FE79B"/>
          </w:tcPr>
          <w:p w:rsidR="00E67910" w:rsidRDefault="00E6791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</w:tbl>
    <w:p w:rsidR="00E67910" w:rsidRDefault="00E67910" w:rsidP="00E67910"/>
    <w:p w:rsidR="00E67910" w:rsidRPr="00764B40" w:rsidRDefault="00E67910" w:rsidP="00E67910">
      <w:pPr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</w:pPr>
      <w:r w:rsidRPr="00764B40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Napomena: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Ovi podaci su uzeti na osnovu prijava stranaca u Turističkoj organizaciji Bijelo </w:t>
      </w:r>
      <w:proofErr w:type="gramStart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>Polje ,</w:t>
      </w:r>
      <w:proofErr w:type="gramEnd"/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ne obuhvataju prijave u hotelima i drugim kolektivnim smještajima, podaci su </w:t>
      </w:r>
      <w:r w:rsidR="0081325F" w:rsidRPr="00764B40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zaključno sa 31</w:t>
      </w:r>
      <w:r w:rsidRPr="00764B40">
        <w:rPr>
          <w:rStyle w:val="Emphasis"/>
          <w:rFonts w:ascii="Times New Roman" w:hAnsi="Times New Roman" w:cs="Times New Roman"/>
          <w:i w:val="0"/>
          <w:sz w:val="20"/>
          <w:szCs w:val="20"/>
          <w:lang w:val="sr-Latn-RS"/>
        </w:rPr>
        <w:t>.12.2023.godine.</w:t>
      </w:r>
    </w:p>
    <w:p w:rsidR="00E67910" w:rsidRDefault="00E67910" w:rsidP="00E67910"/>
    <w:p w:rsidR="00E67910" w:rsidRDefault="00E67910" w:rsidP="001635A4"/>
    <w:p w:rsidR="004F095F" w:rsidRDefault="004F095F" w:rsidP="001635A4"/>
    <w:p w:rsidR="004F095F" w:rsidRDefault="004F095F" w:rsidP="001635A4"/>
    <w:p w:rsidR="004F095F" w:rsidRDefault="004F095F" w:rsidP="001635A4"/>
    <w:p w:rsidR="004F095F" w:rsidRDefault="004F095F" w:rsidP="001635A4"/>
    <w:p w:rsidR="004F095F" w:rsidRDefault="004F095F" w:rsidP="001635A4"/>
    <w:p w:rsidR="004F095F" w:rsidRDefault="004F095F" w:rsidP="001635A4"/>
    <w:p w:rsidR="00764B40" w:rsidRDefault="00764B40" w:rsidP="001635A4"/>
    <w:p w:rsidR="004F095F" w:rsidRDefault="004F095F" w:rsidP="001635A4"/>
    <w:p w:rsidR="004F095F" w:rsidRPr="00764B40" w:rsidRDefault="00764B40" w:rsidP="00764B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4B4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Prihodi </w:t>
      </w:r>
      <w:proofErr w:type="gramStart"/>
      <w:r w:rsidRPr="00764B40">
        <w:rPr>
          <w:rFonts w:ascii="Times New Roman" w:hAnsi="Times New Roman" w:cs="Times New Roman"/>
          <w:b/>
          <w:sz w:val="20"/>
          <w:szCs w:val="20"/>
        </w:rPr>
        <w:t>od</w:t>
      </w:r>
      <w:proofErr w:type="gramEnd"/>
      <w:r w:rsidRPr="00764B40">
        <w:rPr>
          <w:rFonts w:ascii="Times New Roman" w:hAnsi="Times New Roman" w:cs="Times New Roman"/>
          <w:b/>
          <w:sz w:val="20"/>
          <w:szCs w:val="20"/>
        </w:rPr>
        <w:t xml:space="preserve"> turizma</w:t>
      </w:r>
    </w:p>
    <w:tbl>
      <w:tblPr>
        <w:tblpPr w:leftFromText="180" w:rightFromText="180" w:bottomFromText="200" w:vertAnchor="text" w:tblpY="1"/>
        <w:tblOverlap w:val="never"/>
        <w:tblW w:w="8295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78"/>
        <w:gridCol w:w="979"/>
        <w:gridCol w:w="718"/>
        <w:gridCol w:w="754"/>
        <w:gridCol w:w="822"/>
        <w:gridCol w:w="710"/>
        <w:gridCol w:w="900"/>
        <w:gridCol w:w="900"/>
        <w:gridCol w:w="720"/>
      </w:tblGrid>
      <w:tr w:rsidR="004F095F" w:rsidTr="004F095F">
        <w:tc>
          <w:tcPr>
            <w:tcW w:w="815" w:type="dxa"/>
            <w:vMerge w:val="restart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Period</w:t>
            </w:r>
          </w:p>
        </w:tc>
        <w:tc>
          <w:tcPr>
            <w:tcW w:w="7483" w:type="dxa"/>
            <w:gridSpan w:val="9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Namjenski prihodi</w:t>
            </w:r>
          </w:p>
        </w:tc>
      </w:tr>
      <w:tr w:rsidR="004F095F" w:rsidTr="004F095F">
        <w:trPr>
          <w:trHeight w:val="518"/>
        </w:trPr>
        <w:tc>
          <w:tcPr>
            <w:tcW w:w="815" w:type="dxa"/>
            <w:vMerge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boravišne takse 2022.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boravišne takse 2023.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Prihodi od članskog doprnosa 2022.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članskog doprnosa 2023.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Ukupni namjenski prihodi 2022.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Ukupni namjenski prihodi</w:t>
            </w:r>
          </w:p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2023.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spacing w:after="0" w:line="276" w:lineRule="auto"/>
              <w:rPr>
                <w:rFonts w:ascii="Arial Narrow" w:hAnsi="Arial Narrow" w:cs="Times New Roman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januar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9,60  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596,96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6 218,33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2 328,97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1 975,95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84,84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2 338,57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2 572,91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110,02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februar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   62,80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494,08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786,75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2 510,00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502,65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20,02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2 572,80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 996,73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38,74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mart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158,36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78,82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49,77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1 398,73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75,00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5,36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1 557,09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153,82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0,06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april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85,32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69,56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  <w:lang w:val="sr-Latn-RS"/>
              </w:rPr>
            </w:pPr>
            <w:r>
              <w:rPr>
                <w:rFonts w:ascii="Arial Narrow" w:hAnsi="Arial Narrow"/>
                <w:sz w:val="14"/>
                <w:lang w:val="sr-Latn-RS"/>
              </w:rPr>
              <w:t>81,52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20 625,84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12 448,50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60,35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20 711,16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12 518,06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60,44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maj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150,60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564,72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374,98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13 527,48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30 911,29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25,22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13 678,08  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31,476,01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230,12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jun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183,92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517,60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281,42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4 711,64 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3 982,29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84,52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4 895,56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4 499,89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91,01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jul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69,40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703,16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1 03,19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609,15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5 523,42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906,74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678,55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6 226,58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0,14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avgust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396,94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1 370,58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345,28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1 854,08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2 854,92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153,98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2 251,02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4 225,50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187,71 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septembar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972,16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609,96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62,74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2 696,10   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2 928,42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108,61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3 668,26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3 538,38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96,45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oktobar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1 366,60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501,44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36,69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1 789,02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2 056,02  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114,92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3 155,62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2 557,46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81,04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novembar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1 219,76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804,12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65,92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3 319,35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605,55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18,24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4 539,11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1 409,67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31,05 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decembar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1 060,66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1 230,62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116,02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4 820,12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1 650,81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34,24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5 823,72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4F095F" w:rsidRDefault="00E37BE8" w:rsidP="00E37BE8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</w:t>
            </w:r>
            <w:r w:rsidR="004F095F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sz w:val="14"/>
              </w:rPr>
              <w:t>2 881,43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49,47</w:t>
            </w:r>
          </w:p>
        </w:tc>
      </w:tr>
      <w:tr w:rsidR="004F095F" w:rsidTr="004F095F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4" w:space="0" w:color="auto"/>
              <w:right w:val="single" w:sz="2" w:space="0" w:color="666666"/>
            </w:tcBorders>
            <w:shd w:val="clear" w:color="auto" w:fill="FFE599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Ukupno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5 736,12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7 541,62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131,47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60 190,48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65 514,82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E37BE8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108,84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4F095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65 926,60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  <w:hideMark/>
          </w:tcPr>
          <w:p w:rsidR="004F095F" w:rsidRDefault="004F095F" w:rsidP="00E37BE8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 </w:t>
            </w:r>
            <w:r w:rsidR="00E37BE8">
              <w:rPr>
                <w:rFonts w:ascii="Arial Narrow" w:hAnsi="Arial Narrow"/>
                <w:b/>
                <w:sz w:val="14"/>
              </w:rPr>
              <w:t>73 056,44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:rsidR="004F095F" w:rsidRDefault="005462C5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110,81</w:t>
            </w:r>
          </w:p>
        </w:tc>
      </w:tr>
    </w:tbl>
    <w:p w:rsidR="004F095F" w:rsidRDefault="004F095F" w:rsidP="004F095F">
      <w:pPr>
        <w:pStyle w:val="NoSpacing"/>
      </w:pPr>
    </w:p>
    <w:p w:rsidR="004F095F" w:rsidRDefault="004F095F" w:rsidP="004F095F"/>
    <w:p w:rsidR="004F095F" w:rsidRDefault="004F095F" w:rsidP="004F095F"/>
    <w:p w:rsidR="004F095F" w:rsidRDefault="004F095F" w:rsidP="004F095F"/>
    <w:p w:rsidR="004F095F" w:rsidRDefault="004F095F" w:rsidP="004F095F"/>
    <w:p w:rsidR="004F095F" w:rsidRDefault="004F095F" w:rsidP="004F095F"/>
    <w:p w:rsidR="004F095F" w:rsidRDefault="004F095F" w:rsidP="004F095F"/>
    <w:p w:rsidR="004F095F" w:rsidRDefault="004F095F" w:rsidP="004F095F"/>
    <w:p w:rsidR="004F095F" w:rsidRDefault="004F095F" w:rsidP="004F095F"/>
    <w:p w:rsidR="004F095F" w:rsidRDefault="004F095F" w:rsidP="004F09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Napomena</w:t>
      </w:r>
      <w:r>
        <w:rPr>
          <w:rFonts w:ascii="Times New Roman" w:hAnsi="Times New Roman" w:cs="Times New Roman"/>
          <w:sz w:val="20"/>
          <w:szCs w:val="20"/>
          <w:lang w:val="sr-Latn-R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Podaci o namjens</w:t>
      </w:r>
      <w:r w:rsidR="00E37BE8">
        <w:rPr>
          <w:rFonts w:ascii="Times New Roman" w:hAnsi="Times New Roman" w:cs="Times New Roman"/>
          <w:sz w:val="20"/>
          <w:szCs w:val="20"/>
        </w:rPr>
        <w:t xml:space="preserve">kim prihodima su zakljucno </w:t>
      </w:r>
      <w:proofErr w:type="gramStart"/>
      <w:r w:rsidR="00E37BE8">
        <w:rPr>
          <w:rFonts w:ascii="Times New Roman" w:hAnsi="Times New Roman" w:cs="Times New Roman"/>
          <w:sz w:val="20"/>
          <w:szCs w:val="20"/>
        </w:rPr>
        <w:t>sa</w:t>
      </w:r>
      <w:proofErr w:type="gramEnd"/>
      <w:r w:rsidR="00E37BE8">
        <w:rPr>
          <w:rFonts w:ascii="Times New Roman" w:hAnsi="Times New Roman" w:cs="Times New Roman"/>
          <w:sz w:val="20"/>
          <w:szCs w:val="20"/>
        </w:rPr>
        <w:t xml:space="preserve"> 31</w:t>
      </w:r>
      <w:r w:rsidR="00731411">
        <w:rPr>
          <w:rFonts w:ascii="Times New Roman" w:hAnsi="Times New Roman" w:cs="Times New Roman"/>
          <w:sz w:val="20"/>
          <w:szCs w:val="20"/>
        </w:rPr>
        <w:t>.12. 2023</w:t>
      </w:r>
      <w:proofErr w:type="gramStart"/>
      <w:r w:rsidR="00731411">
        <w:rPr>
          <w:rFonts w:ascii="Times New Roman" w:hAnsi="Times New Roman" w:cs="Times New Roman"/>
          <w:sz w:val="20"/>
          <w:szCs w:val="20"/>
        </w:rPr>
        <w:t>.godine</w:t>
      </w:r>
      <w:proofErr w:type="gramEnd"/>
      <w:r w:rsidR="00731411">
        <w:rPr>
          <w:rFonts w:ascii="Times New Roman" w:hAnsi="Times New Roman" w:cs="Times New Roman"/>
          <w:sz w:val="20"/>
          <w:szCs w:val="20"/>
        </w:rPr>
        <w:t>. Privredni subjekti</w:t>
      </w:r>
      <w:r w:rsidR="00764B40">
        <w:rPr>
          <w:rFonts w:ascii="Times New Roman" w:hAnsi="Times New Roman" w:cs="Times New Roman"/>
          <w:sz w:val="20"/>
          <w:szCs w:val="20"/>
        </w:rPr>
        <w:t xml:space="preserve"> koji su platili najviše boraviš</w:t>
      </w:r>
      <w:r w:rsidR="00731411">
        <w:rPr>
          <w:rFonts w:ascii="Times New Roman" w:hAnsi="Times New Roman" w:cs="Times New Roman"/>
          <w:sz w:val="20"/>
          <w:szCs w:val="20"/>
        </w:rPr>
        <w:t xml:space="preserve">ne </w:t>
      </w:r>
      <w:r w:rsidR="00764B40">
        <w:rPr>
          <w:rFonts w:ascii="Times New Roman" w:hAnsi="Times New Roman" w:cs="Times New Roman"/>
          <w:sz w:val="20"/>
          <w:szCs w:val="20"/>
        </w:rPr>
        <w:t>takse</w:t>
      </w:r>
      <w:r w:rsidR="00731411">
        <w:rPr>
          <w:rFonts w:ascii="Times New Roman" w:hAnsi="Times New Roman" w:cs="Times New Roman"/>
          <w:sz w:val="20"/>
          <w:szCs w:val="20"/>
        </w:rPr>
        <w:t xml:space="preserve"> </w:t>
      </w:r>
      <w:r w:rsidR="00764B40">
        <w:rPr>
          <w:rFonts w:ascii="Times New Roman" w:hAnsi="Times New Roman" w:cs="Times New Roman"/>
          <w:sz w:val="20"/>
          <w:szCs w:val="20"/>
        </w:rPr>
        <w:t>s</w:t>
      </w:r>
      <w:r w:rsidR="00731411">
        <w:rPr>
          <w:rFonts w:ascii="Times New Roman" w:hAnsi="Times New Roman" w:cs="Times New Roman"/>
          <w:sz w:val="20"/>
          <w:szCs w:val="20"/>
        </w:rPr>
        <w:t xml:space="preserve">u hotel </w:t>
      </w:r>
      <w:proofErr w:type="gramStart"/>
      <w:r w:rsidR="00731411">
        <w:rPr>
          <w:rFonts w:ascii="Times New Roman" w:hAnsi="Times New Roman" w:cs="Times New Roman"/>
          <w:sz w:val="20"/>
          <w:szCs w:val="20"/>
        </w:rPr>
        <w:t>‘’Franca’’ ,</w:t>
      </w:r>
      <w:proofErr w:type="gramEnd"/>
      <w:r w:rsidR="00731411">
        <w:rPr>
          <w:rFonts w:ascii="Times New Roman" w:hAnsi="Times New Roman" w:cs="Times New Roman"/>
          <w:sz w:val="20"/>
          <w:szCs w:val="20"/>
        </w:rPr>
        <w:t xml:space="preserve"> hotel’’Dominus’’ </w:t>
      </w:r>
      <w:r w:rsidR="00764B40">
        <w:rPr>
          <w:rFonts w:ascii="Times New Roman" w:hAnsi="Times New Roman" w:cs="Times New Roman"/>
          <w:sz w:val="20"/>
          <w:szCs w:val="20"/>
        </w:rPr>
        <w:t xml:space="preserve">i </w:t>
      </w:r>
      <w:r w:rsidR="00731411">
        <w:rPr>
          <w:rFonts w:ascii="Times New Roman" w:hAnsi="Times New Roman" w:cs="Times New Roman"/>
          <w:sz w:val="20"/>
          <w:szCs w:val="20"/>
        </w:rPr>
        <w:t>hotel’’Dvor’’.</w:t>
      </w:r>
    </w:p>
    <w:p w:rsidR="00764B40" w:rsidRPr="00CE23A6" w:rsidRDefault="00CE23A6" w:rsidP="004F095F">
      <w:pPr>
        <w:rPr>
          <w:rFonts w:ascii="Times New Roman" w:hAnsi="Times New Roman" w:cs="Times New Roman"/>
          <w:b/>
          <w:sz w:val="20"/>
          <w:szCs w:val="20"/>
        </w:rPr>
      </w:pPr>
      <w:r w:rsidRPr="00CE23A6">
        <w:rPr>
          <w:rFonts w:ascii="Times New Roman" w:hAnsi="Times New Roman" w:cs="Times New Roman"/>
          <w:b/>
          <w:sz w:val="20"/>
          <w:szCs w:val="20"/>
        </w:rPr>
        <w:t>I CILJEVI TOBP NA OSNOVU SMJERNICA NTO CG</w:t>
      </w:r>
    </w:p>
    <w:p w:rsidR="00764B40" w:rsidRDefault="00764B40" w:rsidP="004F095F">
      <w:pPr>
        <w:rPr>
          <w:rFonts w:ascii="Times New Roman" w:hAnsi="Times New Roman" w:cs="Times New Roman"/>
          <w:b/>
          <w:sz w:val="20"/>
          <w:szCs w:val="20"/>
        </w:rPr>
      </w:pPr>
      <w:r w:rsidRPr="00764B40">
        <w:rPr>
          <w:rFonts w:ascii="Times New Roman" w:hAnsi="Times New Roman" w:cs="Times New Roman"/>
          <w:b/>
          <w:sz w:val="20"/>
          <w:szCs w:val="20"/>
        </w:rPr>
        <w:t>Cilj a) Div</w:t>
      </w:r>
      <w:r w:rsidR="003C1B58">
        <w:rPr>
          <w:rFonts w:ascii="Times New Roman" w:hAnsi="Times New Roman" w:cs="Times New Roman"/>
          <w:b/>
          <w:sz w:val="20"/>
          <w:szCs w:val="20"/>
        </w:rPr>
        <w:t>erzifikacija turističke ponude i</w:t>
      </w:r>
      <w:r w:rsidRPr="00764B40">
        <w:rPr>
          <w:rFonts w:ascii="Times New Roman" w:hAnsi="Times New Roman" w:cs="Times New Roman"/>
          <w:b/>
          <w:sz w:val="20"/>
          <w:szCs w:val="20"/>
        </w:rPr>
        <w:t xml:space="preserve"> unapređenje kvaliteta turističkog proizvoda </w:t>
      </w:r>
      <w:r w:rsidR="003C1B58">
        <w:rPr>
          <w:rFonts w:ascii="Times New Roman" w:hAnsi="Times New Roman" w:cs="Times New Roman"/>
          <w:b/>
          <w:sz w:val="20"/>
          <w:szCs w:val="20"/>
        </w:rPr>
        <w:t xml:space="preserve">na principima održivog </w:t>
      </w:r>
      <w:proofErr w:type="gramStart"/>
      <w:r w:rsidR="003C1B58">
        <w:rPr>
          <w:rFonts w:ascii="Times New Roman" w:hAnsi="Times New Roman" w:cs="Times New Roman"/>
          <w:b/>
          <w:sz w:val="20"/>
          <w:szCs w:val="20"/>
        </w:rPr>
        <w:t xml:space="preserve">razvoja </w:t>
      </w:r>
      <w:r w:rsidRPr="00764B40">
        <w:rPr>
          <w:rFonts w:ascii="Times New Roman" w:hAnsi="Times New Roman" w:cs="Times New Roman"/>
          <w:b/>
          <w:sz w:val="20"/>
          <w:szCs w:val="20"/>
        </w:rPr>
        <w:t xml:space="preserve"> kroz</w:t>
      </w:r>
      <w:proofErr w:type="gramEnd"/>
      <w:r w:rsidRPr="00764B40">
        <w:rPr>
          <w:rFonts w:ascii="Times New Roman" w:hAnsi="Times New Roman" w:cs="Times New Roman"/>
          <w:b/>
          <w:sz w:val="20"/>
          <w:szCs w:val="20"/>
        </w:rPr>
        <w:t xml:space="preserve"> efikasno upravljanje destinacijom</w:t>
      </w:r>
    </w:p>
    <w:p w:rsidR="003A2F6E" w:rsidRDefault="00764B40" w:rsidP="004F095F">
      <w:pPr>
        <w:rPr>
          <w:rFonts w:ascii="Times New Roman" w:hAnsi="Times New Roman" w:cs="Times New Roman"/>
          <w:sz w:val="20"/>
          <w:szCs w:val="20"/>
        </w:rPr>
      </w:pPr>
      <w:r w:rsidRPr="00764B40">
        <w:rPr>
          <w:rFonts w:ascii="Times New Roman" w:hAnsi="Times New Roman" w:cs="Times New Roman"/>
          <w:sz w:val="20"/>
          <w:szCs w:val="20"/>
        </w:rPr>
        <w:t>Ovim ciljem je potrebno identifikovati relevantne pr</w:t>
      </w:r>
      <w:r>
        <w:rPr>
          <w:rFonts w:ascii="Times New Roman" w:hAnsi="Times New Roman" w:cs="Times New Roman"/>
          <w:sz w:val="20"/>
          <w:szCs w:val="20"/>
        </w:rPr>
        <w:t>ojekte za unapređenje postojeć</w:t>
      </w:r>
      <w:r w:rsidRPr="00764B40">
        <w:rPr>
          <w:rFonts w:ascii="Times New Roman" w:hAnsi="Times New Roman" w:cs="Times New Roman"/>
          <w:sz w:val="20"/>
          <w:szCs w:val="20"/>
        </w:rPr>
        <w:t xml:space="preserve">ih turističkih atrakcija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764B4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64B40">
        <w:rPr>
          <w:rFonts w:ascii="Times New Roman" w:hAnsi="Times New Roman" w:cs="Times New Roman"/>
          <w:sz w:val="20"/>
          <w:szCs w:val="20"/>
        </w:rPr>
        <w:t xml:space="preserve">iskustva 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obzirom da savremeni turi</w:t>
      </w:r>
      <w:r w:rsidR="00967FEE">
        <w:rPr>
          <w:rFonts w:ascii="Times New Roman" w:hAnsi="Times New Roman" w:cs="Times New Roman"/>
          <w:sz w:val="20"/>
          <w:szCs w:val="20"/>
        </w:rPr>
        <w:t>sti žele da dožive jedinstvene i</w:t>
      </w:r>
      <w:r>
        <w:rPr>
          <w:rFonts w:ascii="Times New Roman" w:hAnsi="Times New Roman" w:cs="Times New Roman"/>
          <w:sz w:val="20"/>
          <w:szCs w:val="20"/>
        </w:rPr>
        <w:t xml:space="preserve"> autentične </w:t>
      </w:r>
      <w:r w:rsidR="003A2F6E">
        <w:rPr>
          <w:rFonts w:ascii="Times New Roman" w:hAnsi="Times New Roman" w:cs="Times New Roman"/>
          <w:sz w:val="20"/>
          <w:szCs w:val="20"/>
        </w:rPr>
        <w:t>elemente određene destinacije (</w:t>
      </w:r>
      <w:r w:rsidR="00967FEE">
        <w:rPr>
          <w:rFonts w:ascii="Times New Roman" w:hAnsi="Times New Roman" w:cs="Times New Roman"/>
          <w:sz w:val="20"/>
          <w:szCs w:val="20"/>
        </w:rPr>
        <w:t>ljude , kulturu , zivot , itd).P</w:t>
      </w:r>
      <w:r w:rsidR="003A2F6E">
        <w:rPr>
          <w:rFonts w:ascii="Times New Roman" w:hAnsi="Times New Roman" w:cs="Times New Roman"/>
          <w:sz w:val="20"/>
          <w:szCs w:val="20"/>
        </w:rPr>
        <w:t xml:space="preserve">rogramom rada TOBP za 2024. </w:t>
      </w:r>
      <w:proofErr w:type="gramStart"/>
      <w:r w:rsidR="003A2F6E">
        <w:rPr>
          <w:rFonts w:ascii="Times New Roman" w:hAnsi="Times New Roman" w:cs="Times New Roman"/>
          <w:sz w:val="20"/>
          <w:szCs w:val="20"/>
        </w:rPr>
        <w:t>godinu</w:t>
      </w:r>
      <w:proofErr w:type="gramEnd"/>
      <w:r w:rsidR="003A2F6E">
        <w:rPr>
          <w:rFonts w:ascii="Times New Roman" w:hAnsi="Times New Roman" w:cs="Times New Roman"/>
          <w:sz w:val="20"/>
          <w:szCs w:val="20"/>
        </w:rPr>
        <w:t xml:space="preserve"> pod</w:t>
      </w:r>
      <w:r w:rsidR="00967FEE">
        <w:rPr>
          <w:rFonts w:ascii="Times New Roman" w:hAnsi="Times New Roman" w:cs="Times New Roman"/>
          <w:sz w:val="20"/>
          <w:szCs w:val="20"/>
        </w:rPr>
        <w:t>s</w:t>
      </w:r>
      <w:r w:rsidR="003A2F6E">
        <w:rPr>
          <w:rFonts w:ascii="Times New Roman" w:hAnsi="Times New Roman" w:cs="Times New Roman"/>
          <w:sz w:val="20"/>
          <w:szCs w:val="20"/>
        </w:rPr>
        <w:t>ticaće se  ulaganja u projekte iz obla</w:t>
      </w:r>
      <w:r w:rsidR="00967FEE">
        <w:rPr>
          <w:rFonts w:ascii="Times New Roman" w:hAnsi="Times New Roman" w:cs="Times New Roman"/>
          <w:sz w:val="20"/>
          <w:szCs w:val="20"/>
        </w:rPr>
        <w:t>sti turizma u prirodi (aktivni i</w:t>
      </w:r>
      <w:r w:rsidR="003A2F6E">
        <w:rPr>
          <w:rFonts w:ascii="Times New Roman" w:hAnsi="Times New Roman" w:cs="Times New Roman"/>
          <w:sz w:val="20"/>
          <w:szCs w:val="20"/>
        </w:rPr>
        <w:t xml:space="preserve"> avanturistički turizam) , valorizacija zaštićenih područja , tu</w:t>
      </w:r>
      <w:r w:rsidR="00967FEE">
        <w:rPr>
          <w:rFonts w:ascii="Times New Roman" w:hAnsi="Times New Roman" w:cs="Times New Roman"/>
          <w:sz w:val="20"/>
          <w:szCs w:val="20"/>
        </w:rPr>
        <w:t>rizam u ruralnim područima kao i</w:t>
      </w:r>
      <w:r w:rsidR="003A2F6E">
        <w:rPr>
          <w:rFonts w:ascii="Times New Roman" w:hAnsi="Times New Roman" w:cs="Times New Roman"/>
          <w:sz w:val="20"/>
          <w:szCs w:val="20"/>
        </w:rPr>
        <w:t xml:space="preserve"> projekti valorizacije</w:t>
      </w:r>
      <w:r w:rsidR="00967FEE">
        <w:rPr>
          <w:rFonts w:ascii="Times New Roman" w:hAnsi="Times New Roman" w:cs="Times New Roman"/>
          <w:sz w:val="20"/>
          <w:szCs w:val="20"/>
        </w:rPr>
        <w:t xml:space="preserve"> kulturne baštine (materijalne i nematerijal</w:t>
      </w:r>
      <w:r w:rsidR="003A2F6E">
        <w:rPr>
          <w:rFonts w:ascii="Times New Roman" w:hAnsi="Times New Roman" w:cs="Times New Roman"/>
          <w:sz w:val="20"/>
          <w:szCs w:val="20"/>
        </w:rPr>
        <w:t>ne)</w:t>
      </w:r>
    </w:p>
    <w:p w:rsidR="003A2F6E" w:rsidRDefault="003A2F6E" w:rsidP="004F09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tom pravcu TOBP planira realizaciju sledećih aktivnosti</w:t>
      </w:r>
      <w:r w:rsidR="008053B7">
        <w:rPr>
          <w:rFonts w:ascii="Times New Roman" w:hAnsi="Times New Roman" w:cs="Times New Roman"/>
          <w:sz w:val="20"/>
          <w:szCs w:val="20"/>
        </w:rPr>
        <w:t>&gt;</w:t>
      </w:r>
    </w:p>
    <w:p w:rsidR="00764B40" w:rsidRDefault="003A2F6E" w:rsidP="003A2F6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Promotivna pješačka tura  </w:t>
      </w:r>
      <w:r w:rsidR="00545604">
        <w:rPr>
          <w:rFonts w:ascii="Times New Roman" w:hAnsi="Times New Roman"/>
          <w:sz w:val="20"/>
          <w:szCs w:val="20"/>
          <w:lang w:val="sr-Latn-RS"/>
        </w:rPr>
        <w:t>(</w:t>
      </w:r>
      <w:r w:rsidR="00545604">
        <w:rPr>
          <w:rFonts w:ascii="Times New Roman" w:hAnsi="Times New Roman"/>
          <w:sz w:val="20"/>
          <w:szCs w:val="20"/>
        </w:rPr>
        <w:t>Bistrica - manastir Podvrh )</w:t>
      </w:r>
    </w:p>
    <w:p w:rsidR="003A2F6E" w:rsidRDefault="008053B7" w:rsidP="003A2F6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 : j</w:t>
      </w:r>
      <w:r w:rsidR="003A2F6E">
        <w:rPr>
          <w:rFonts w:ascii="Times New Roman" w:hAnsi="Times New Roman"/>
          <w:sz w:val="20"/>
          <w:szCs w:val="20"/>
        </w:rPr>
        <w:t xml:space="preserve">un </w:t>
      </w:r>
    </w:p>
    <w:p w:rsidR="003A2F6E" w:rsidRDefault="003A2F6E" w:rsidP="003A2F6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 xml:space="preserve">: broj učesnika cca 50 </w:t>
      </w:r>
    </w:p>
    <w:p w:rsidR="003A2F6E" w:rsidRDefault="003A2F6E" w:rsidP="003A2F6E">
      <w:pPr>
        <w:pStyle w:val="ListParagraph"/>
        <w:rPr>
          <w:rFonts w:ascii="Times New Roman" w:hAnsi="Times New Roman"/>
          <w:sz w:val="20"/>
          <w:szCs w:val="20"/>
        </w:rPr>
      </w:pPr>
    </w:p>
    <w:p w:rsidR="003A2F6E" w:rsidRDefault="003A2F6E" w:rsidP="003A2F6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Promotivna pješačka tura na Bjelasici (Planinarski dom’’Cmiljaće’’</w:t>
      </w:r>
      <w:r w:rsidR="001B26DA">
        <w:rPr>
          <w:rFonts w:ascii="Times New Roman" w:hAnsi="Times New Roman"/>
          <w:sz w:val="20"/>
          <w:szCs w:val="20"/>
        </w:rPr>
        <w:t>- Crni vrh</w:t>
      </w:r>
      <w:r>
        <w:rPr>
          <w:rFonts w:ascii="Times New Roman" w:hAnsi="Times New Roman"/>
          <w:sz w:val="20"/>
          <w:szCs w:val="20"/>
        </w:rPr>
        <w:t>)</w:t>
      </w:r>
    </w:p>
    <w:p w:rsidR="003A2F6E" w:rsidRDefault="003A2F6E" w:rsidP="003A2F6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</w:t>
      </w:r>
      <w:r w:rsidR="00545797">
        <w:rPr>
          <w:rFonts w:ascii="Times New Roman" w:hAnsi="Times New Roman"/>
          <w:sz w:val="20"/>
          <w:szCs w:val="20"/>
        </w:rPr>
        <w:t>jun ili j</w:t>
      </w:r>
      <w:r>
        <w:rPr>
          <w:rFonts w:ascii="Times New Roman" w:hAnsi="Times New Roman"/>
          <w:sz w:val="20"/>
          <w:szCs w:val="20"/>
        </w:rPr>
        <w:t>ul(zavisno od vremenskih uslova)</w:t>
      </w:r>
    </w:p>
    <w:p w:rsidR="003A2F6E" w:rsidRDefault="003A2F6E" w:rsidP="003A2F6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</w:t>
      </w:r>
      <w:r w:rsidR="008053B7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kator :</w:t>
      </w:r>
      <w:proofErr w:type="gramEnd"/>
      <w:r>
        <w:rPr>
          <w:rFonts w:ascii="Times New Roman" w:hAnsi="Times New Roman"/>
          <w:sz w:val="20"/>
          <w:szCs w:val="20"/>
        </w:rPr>
        <w:t xml:space="preserve"> broj uče</w:t>
      </w:r>
      <w:r w:rsidR="00545797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nika 100</w:t>
      </w:r>
    </w:p>
    <w:p w:rsidR="00545797" w:rsidRDefault="00545797" w:rsidP="003A2F6E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Promotivna pješačka tura Vraneškom dolinom  ( Novakovića pećina , </w:t>
      </w:r>
      <w:r w:rsidRPr="00545797">
        <w:rPr>
          <w:rFonts w:ascii="Times New Roman" w:hAnsi="Times New Roman"/>
          <w:sz w:val="20"/>
          <w:szCs w:val="20"/>
        </w:rPr>
        <w:t>vodopad Skakala</w:t>
      </w:r>
      <w:r>
        <w:rPr>
          <w:rFonts w:ascii="Times New Roman" w:hAnsi="Times New Roman"/>
          <w:sz w:val="20"/>
          <w:szCs w:val="20"/>
        </w:rPr>
        <w:t>, , seosko domaćinsto Pešić</w:t>
      </w:r>
      <w:r w:rsidRPr="00545797">
        <w:rPr>
          <w:rFonts w:ascii="Times New Roman" w:hAnsi="Times New Roman"/>
          <w:sz w:val="20"/>
          <w:szCs w:val="20"/>
        </w:rPr>
        <w:t xml:space="preserve">) </w:t>
      </w:r>
    </w:p>
    <w:p w:rsidR="00545797" w:rsidRDefault="001B26DA" w:rsidP="00545797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maj</w:t>
      </w:r>
    </w:p>
    <w:p w:rsidR="00545797" w:rsidRP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>: broj učesnika 50</w:t>
      </w:r>
    </w:p>
    <w:p w:rsidR="003A2F6E" w:rsidRDefault="003A2F6E" w:rsidP="003A2F6E">
      <w:pPr>
        <w:pStyle w:val="ListParagraph"/>
        <w:rPr>
          <w:rFonts w:ascii="Times New Roman" w:hAnsi="Times New Roman"/>
          <w:sz w:val="20"/>
          <w:szCs w:val="20"/>
        </w:rPr>
      </w:pPr>
    </w:p>
    <w:p w:rsidR="001B26DA" w:rsidRDefault="001B26DA" w:rsidP="001B26D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Limska regata  (Zaton – Ušće)</w:t>
      </w:r>
    </w:p>
    <w:p w:rsidR="001B26DA" w:rsidRDefault="001B26DA" w:rsidP="001B26DA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realizacije:jul</w:t>
      </w:r>
    </w:p>
    <w:p w:rsidR="00545797" w:rsidRDefault="00545797" w:rsidP="001B26DA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>: broj raftera cca  50 (iz regiona )</w:t>
      </w: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Bjelopoljski ljetnji bazar </w:t>
      </w:r>
    </w:p>
    <w:p w:rsidR="00545797" w:rsidRDefault="008053B7" w:rsidP="00545797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</w:t>
      </w:r>
      <w:r w:rsidR="001B26DA">
        <w:rPr>
          <w:rFonts w:ascii="Times New Roman" w:hAnsi="Times New Roman"/>
          <w:sz w:val="20"/>
          <w:szCs w:val="20"/>
        </w:rPr>
        <w:t>e: jun</w:t>
      </w:r>
      <w:r w:rsidR="00545797">
        <w:rPr>
          <w:rFonts w:ascii="Times New Roman" w:hAnsi="Times New Roman"/>
          <w:sz w:val="20"/>
          <w:szCs w:val="20"/>
        </w:rPr>
        <w:t xml:space="preserve"> –avgust</w:t>
      </w: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 xml:space="preserve">: broj izlagača  cca  40 </w:t>
      </w:r>
    </w:p>
    <w:p w:rsidR="004276DF" w:rsidRDefault="004276DF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3C1B58" w:rsidRDefault="003C1B58" w:rsidP="003C1B58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  <w:lang w:val="sr-Latn-RS"/>
        </w:rPr>
      </w:pPr>
      <w:r>
        <w:rPr>
          <w:rFonts w:ascii="Times New Roman" w:hAnsi="Times New Roman"/>
          <w:sz w:val="20"/>
          <w:szCs w:val="20"/>
          <w:lang w:val="sr-Latn-RS"/>
        </w:rPr>
        <w:lastRenderedPageBreak/>
        <w:t xml:space="preserve">’’Novogodišnji bjelopoljski bazar’’ </w:t>
      </w:r>
    </w:p>
    <w:p w:rsidR="003C1B58" w:rsidRDefault="003C1B58" w:rsidP="003C1B58">
      <w:pPr>
        <w:pStyle w:val="ListParagraph"/>
        <w:rPr>
          <w:rFonts w:ascii="Times New Roman" w:hAnsi="Times New Roman"/>
          <w:sz w:val="20"/>
          <w:szCs w:val="20"/>
          <w:lang w:val="sr-Latn-RS"/>
        </w:rPr>
      </w:pPr>
      <w:r>
        <w:rPr>
          <w:rFonts w:ascii="Times New Roman" w:hAnsi="Times New Roman"/>
          <w:sz w:val="20"/>
          <w:szCs w:val="20"/>
          <w:lang w:val="sr-Latn-RS"/>
        </w:rPr>
        <w:t xml:space="preserve">rok realizacije:decembar – januar </w:t>
      </w:r>
    </w:p>
    <w:p w:rsidR="003C1B58" w:rsidRDefault="003C1B58" w:rsidP="003C1B58">
      <w:pPr>
        <w:pStyle w:val="ListParagraph"/>
        <w:rPr>
          <w:rFonts w:ascii="Times New Roman" w:hAnsi="Times New Roman"/>
          <w:sz w:val="20"/>
          <w:szCs w:val="20"/>
          <w:lang w:val="sr-Latn-RS"/>
        </w:rPr>
      </w:pPr>
      <w:r>
        <w:rPr>
          <w:rFonts w:ascii="Times New Roman" w:hAnsi="Times New Roman"/>
          <w:sz w:val="20"/>
          <w:szCs w:val="20"/>
          <w:lang w:val="sr-Latn-RS"/>
        </w:rPr>
        <w:t>indikator. broj izlagaca cca 40</w:t>
      </w:r>
    </w:p>
    <w:p w:rsidR="003C1B58" w:rsidRPr="003C1B58" w:rsidRDefault="003C1B58" w:rsidP="003C1B58">
      <w:pPr>
        <w:pStyle w:val="ListParagraph"/>
        <w:rPr>
          <w:rFonts w:ascii="Times New Roman" w:hAnsi="Times New Roman"/>
          <w:sz w:val="20"/>
          <w:szCs w:val="20"/>
          <w:lang w:val="sr-Latn-RS"/>
        </w:rPr>
      </w:pPr>
    </w:p>
    <w:p w:rsidR="003C1B58" w:rsidRDefault="004276DF" w:rsidP="003C1B58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Uređenje lokaliteta grobova Ahmeta i Pave u Pavinim Polju  ‘’ Legenda o Ahmetu I Pavi’’ (zaštićeno nematerijakno kulturno dobro)</w:t>
      </w:r>
    </w:p>
    <w:p w:rsidR="003C1B58" w:rsidRDefault="004276DF" w:rsidP="003C1B58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 w:rsidRPr="003C1B58">
        <w:rPr>
          <w:rFonts w:ascii="Times New Roman" w:hAnsi="Times New Roman"/>
          <w:sz w:val="20"/>
          <w:szCs w:val="20"/>
        </w:rPr>
        <w:t>rok</w:t>
      </w:r>
      <w:proofErr w:type="gramEnd"/>
      <w:r w:rsidRPr="003C1B58">
        <w:rPr>
          <w:rFonts w:ascii="Times New Roman" w:hAnsi="Times New Roman"/>
          <w:sz w:val="20"/>
          <w:szCs w:val="20"/>
        </w:rPr>
        <w:t xml:space="preserve"> realizacije : Jun</w:t>
      </w:r>
    </w:p>
    <w:p w:rsidR="004276DF" w:rsidRDefault="004276DF" w:rsidP="003C1B58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 w:rsidRPr="003C1B58">
        <w:rPr>
          <w:rFonts w:ascii="Times New Roman" w:hAnsi="Times New Roman"/>
          <w:sz w:val="20"/>
          <w:szCs w:val="20"/>
        </w:rPr>
        <w:t>indikator:</w:t>
      </w:r>
      <w:proofErr w:type="gramEnd"/>
      <w:r w:rsidRPr="003C1B58">
        <w:rPr>
          <w:rFonts w:ascii="Times New Roman" w:hAnsi="Times New Roman"/>
          <w:sz w:val="20"/>
          <w:szCs w:val="20"/>
        </w:rPr>
        <w:t xml:space="preserve">posjeta minimum 2 turističke agencije sa primorja </w:t>
      </w:r>
    </w:p>
    <w:p w:rsidR="003C1B58" w:rsidRPr="003C1B58" w:rsidRDefault="003C1B58" w:rsidP="003C1B58">
      <w:pPr>
        <w:pStyle w:val="ListParagraph"/>
        <w:rPr>
          <w:rFonts w:ascii="Times New Roman" w:hAnsi="Times New Roman"/>
          <w:sz w:val="20"/>
          <w:szCs w:val="20"/>
        </w:rPr>
      </w:pPr>
    </w:p>
    <w:p w:rsidR="004276DF" w:rsidRDefault="004276DF" w:rsidP="004276DF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Izrada online ture Kulturne rute grada putem digitalnog sadržaja (</w:t>
      </w:r>
      <w:r w:rsidR="001B26DA">
        <w:rPr>
          <w:rFonts w:ascii="Times New Roman" w:hAnsi="Times New Roman"/>
          <w:sz w:val="20"/>
          <w:szCs w:val="20"/>
        </w:rPr>
        <w:t xml:space="preserve">NFC </w:t>
      </w:r>
      <w:r>
        <w:rPr>
          <w:rFonts w:ascii="Times New Roman" w:hAnsi="Times New Roman"/>
          <w:sz w:val="20"/>
          <w:szCs w:val="20"/>
        </w:rPr>
        <w:t>tagova)</w:t>
      </w:r>
    </w:p>
    <w:p w:rsidR="004276DF" w:rsidRDefault="004276DF" w:rsidP="004276DF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realizcije: jun</w:t>
      </w:r>
    </w:p>
    <w:p w:rsidR="00967FEE" w:rsidRDefault="00967FEE" w:rsidP="004276DF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 xml:space="preserve">: distribucija 300 </w:t>
      </w:r>
      <w:r w:rsidR="008053B7">
        <w:rPr>
          <w:rFonts w:ascii="Times New Roman" w:hAnsi="Times New Roman"/>
          <w:sz w:val="20"/>
          <w:szCs w:val="20"/>
        </w:rPr>
        <w:t>NFC tagova</w:t>
      </w:r>
    </w:p>
    <w:p w:rsidR="00950357" w:rsidRDefault="00950357" w:rsidP="004276DF">
      <w:pPr>
        <w:pStyle w:val="ListParagraph"/>
        <w:rPr>
          <w:rFonts w:ascii="Times New Roman" w:hAnsi="Times New Roman"/>
          <w:sz w:val="20"/>
          <w:szCs w:val="20"/>
        </w:rPr>
      </w:pPr>
    </w:p>
    <w:p w:rsidR="00950357" w:rsidRDefault="00950357" w:rsidP="0095035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Unapr</w:t>
      </w:r>
      <w:r w:rsidR="008053B7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  <w:lang w:val="sr-Latn-RS"/>
        </w:rPr>
        <w:t>đ</w:t>
      </w:r>
      <w:r>
        <w:rPr>
          <w:rFonts w:ascii="Times New Roman" w:hAnsi="Times New Roman"/>
          <w:sz w:val="20"/>
          <w:szCs w:val="20"/>
        </w:rPr>
        <w:t>enje ponude gradske suvenirnice</w:t>
      </w:r>
    </w:p>
    <w:p w:rsidR="00950357" w:rsidRDefault="00950357" w:rsidP="00950357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maj- oktobar </w:t>
      </w:r>
    </w:p>
    <w:p w:rsidR="00950357" w:rsidRDefault="00950357" w:rsidP="00950357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>: rast broja izlagača i proizvoda za 20%</w:t>
      </w:r>
    </w:p>
    <w:p w:rsidR="004276DF" w:rsidRDefault="004276DF" w:rsidP="004276DF">
      <w:pPr>
        <w:pStyle w:val="ListParagraph"/>
        <w:rPr>
          <w:rFonts w:ascii="Times New Roman" w:hAnsi="Times New Roman"/>
          <w:sz w:val="20"/>
          <w:szCs w:val="20"/>
        </w:rPr>
      </w:pPr>
    </w:p>
    <w:p w:rsidR="00967FEE" w:rsidRDefault="004276DF" w:rsidP="00967FE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Organizovanje muzičkih koncerata tokom ljetnje turustičke sezone</w:t>
      </w:r>
    </w:p>
    <w:p w:rsidR="00967FEE" w:rsidRDefault="004276DF" w:rsidP="00967FE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 w:rsidRPr="00967FEE">
        <w:rPr>
          <w:rFonts w:ascii="Times New Roman" w:hAnsi="Times New Roman"/>
          <w:sz w:val="20"/>
          <w:szCs w:val="20"/>
        </w:rPr>
        <w:t>rok</w:t>
      </w:r>
      <w:proofErr w:type="gramEnd"/>
      <w:r w:rsidRPr="00967FEE">
        <w:rPr>
          <w:rFonts w:ascii="Times New Roman" w:hAnsi="Times New Roman"/>
          <w:sz w:val="20"/>
          <w:szCs w:val="20"/>
        </w:rPr>
        <w:t xml:space="preserve"> real</w:t>
      </w:r>
      <w:r w:rsidR="00967FEE">
        <w:rPr>
          <w:rFonts w:ascii="Times New Roman" w:hAnsi="Times New Roman"/>
          <w:sz w:val="20"/>
          <w:szCs w:val="20"/>
        </w:rPr>
        <w:t>izacje: jun – septembar</w:t>
      </w:r>
    </w:p>
    <w:p w:rsidR="00950357" w:rsidRDefault="004276DF" w:rsidP="00967FE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</w:t>
      </w:r>
      <w:r w:rsidR="00A3745E">
        <w:rPr>
          <w:rFonts w:ascii="Times New Roman" w:hAnsi="Times New Roman"/>
          <w:sz w:val="20"/>
          <w:szCs w:val="20"/>
        </w:rPr>
        <w:t>ator</w:t>
      </w:r>
      <w:proofErr w:type="gramEnd"/>
      <w:r w:rsidR="00A3745E">
        <w:rPr>
          <w:rFonts w:ascii="Times New Roman" w:hAnsi="Times New Roman"/>
          <w:sz w:val="20"/>
          <w:szCs w:val="20"/>
        </w:rPr>
        <w:t>: broj posjetilaca cca 5000</w:t>
      </w:r>
    </w:p>
    <w:p w:rsidR="00950357" w:rsidRDefault="00950357" w:rsidP="00950357">
      <w:pPr>
        <w:rPr>
          <w:rFonts w:ascii="Times New Roman" w:hAnsi="Times New Roman"/>
          <w:sz w:val="20"/>
          <w:szCs w:val="20"/>
        </w:rPr>
      </w:pPr>
      <w:r w:rsidRPr="00F8051A">
        <w:rPr>
          <w:rFonts w:ascii="Times New Roman" w:hAnsi="Times New Roman"/>
          <w:b/>
          <w:sz w:val="20"/>
          <w:szCs w:val="20"/>
        </w:rPr>
        <w:t>Cilj b</w:t>
      </w:r>
      <w:proofErr w:type="gramStart"/>
      <w:r w:rsidRPr="00F8051A">
        <w:rPr>
          <w:rFonts w:ascii="Times New Roman" w:hAnsi="Times New Roman"/>
          <w:b/>
          <w:sz w:val="20"/>
          <w:szCs w:val="20"/>
        </w:rPr>
        <w:t>)  Pozicioniranje</w:t>
      </w:r>
      <w:proofErr w:type="gramEnd"/>
      <w:r w:rsidRPr="00F8051A">
        <w:rPr>
          <w:rFonts w:ascii="Times New Roman" w:hAnsi="Times New Roman"/>
          <w:b/>
          <w:sz w:val="20"/>
          <w:szCs w:val="20"/>
        </w:rPr>
        <w:t xml:space="preserve"> na turističkom tr</w:t>
      </w:r>
      <w:r w:rsidR="00F8051A">
        <w:rPr>
          <w:rFonts w:ascii="Times New Roman" w:hAnsi="Times New Roman"/>
          <w:b/>
          <w:sz w:val="20"/>
          <w:szCs w:val="20"/>
        </w:rPr>
        <w:t>ž</w:t>
      </w:r>
      <w:r w:rsidRPr="00F8051A">
        <w:rPr>
          <w:rFonts w:ascii="Times New Roman" w:hAnsi="Times New Roman"/>
          <w:b/>
          <w:sz w:val="20"/>
          <w:szCs w:val="20"/>
        </w:rPr>
        <w:t xml:space="preserve">ištu </w:t>
      </w:r>
      <w:r w:rsidR="00F8051A" w:rsidRPr="00F8051A">
        <w:rPr>
          <w:rFonts w:ascii="Times New Roman" w:hAnsi="Times New Roman"/>
          <w:b/>
          <w:sz w:val="20"/>
          <w:szCs w:val="20"/>
        </w:rPr>
        <w:t>i</w:t>
      </w:r>
      <w:r w:rsidRPr="00F8051A">
        <w:rPr>
          <w:rFonts w:ascii="Times New Roman" w:hAnsi="Times New Roman"/>
          <w:b/>
          <w:sz w:val="20"/>
          <w:szCs w:val="20"/>
        </w:rPr>
        <w:t xml:space="preserve"> rast prihoda od turizma</w:t>
      </w:r>
      <w:r w:rsidR="00F8051A">
        <w:rPr>
          <w:rFonts w:ascii="Times New Roman" w:hAnsi="Times New Roman"/>
          <w:sz w:val="20"/>
          <w:szCs w:val="20"/>
        </w:rPr>
        <w:t xml:space="preserve"> obuvata sledeće aktivnosti: </w:t>
      </w:r>
    </w:p>
    <w:p w:rsidR="00950357" w:rsidRDefault="00717A41" w:rsidP="00717A41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</w:t>
      </w:r>
      <w:r w:rsidR="00950357" w:rsidRPr="00717A41">
        <w:rPr>
          <w:rFonts w:ascii="Times New Roman" w:hAnsi="Times New Roman"/>
          <w:sz w:val="20"/>
          <w:szCs w:val="20"/>
        </w:rPr>
        <w:t xml:space="preserve">igitalna promocija (sajt TOBP ww.tobp.me, fb </w:t>
      </w:r>
      <w:r>
        <w:rPr>
          <w:rFonts w:ascii="Times New Roman" w:hAnsi="Times New Roman"/>
          <w:sz w:val="20"/>
          <w:szCs w:val="20"/>
        </w:rPr>
        <w:t>i instagram stranica</w:t>
      </w:r>
      <w:r w:rsidR="00950357" w:rsidRPr="00717A41">
        <w:rPr>
          <w:rFonts w:ascii="Times New Roman" w:hAnsi="Times New Roman"/>
          <w:sz w:val="20"/>
          <w:szCs w:val="20"/>
        </w:rPr>
        <w:t xml:space="preserve"> TOBP)</w:t>
      </w:r>
      <w:r>
        <w:rPr>
          <w:rFonts w:ascii="Times New Roman" w:hAnsi="Times New Roman"/>
          <w:sz w:val="20"/>
          <w:szCs w:val="20"/>
        </w:rPr>
        <w:t xml:space="preserve"> u skladu sa smjernicama promocije NTO CG 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kontinuirano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>: broj pratilaca 20% veci u odnosu na 2023.godinu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</w:p>
    <w:p w:rsidR="00717A41" w:rsidRDefault="00717A41" w:rsidP="00717A41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Učešće na sajmov</w:t>
      </w:r>
      <w:r w:rsidR="008053B7">
        <w:rPr>
          <w:rFonts w:ascii="Times New Roman" w:hAnsi="Times New Roman"/>
          <w:sz w:val="20"/>
          <w:szCs w:val="20"/>
        </w:rPr>
        <w:t>ima turizma u sklopu jedinstveno</w:t>
      </w:r>
      <w:r>
        <w:rPr>
          <w:rFonts w:ascii="Times New Roman" w:hAnsi="Times New Roman"/>
          <w:sz w:val="20"/>
          <w:szCs w:val="20"/>
        </w:rPr>
        <w:t xml:space="preserve">g štanda Crne Gore  u skladu sa kalendarom sajmova NTO CG 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 , februar , mart</w:t>
      </w:r>
      <w:r w:rsidR="00967F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septembar 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 xml:space="preserve">: učešće na 3 sajma u toku godine 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</w:p>
    <w:p w:rsidR="00717A41" w:rsidRDefault="00717A41" w:rsidP="00717A41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Podrška realizaciji studijske grupe predstavnika medija , novinara,turoperatera , influensera , blogera 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jun – avgust</w:t>
      </w:r>
    </w:p>
    <w:p w:rsidR="00717A41" w:rsidRDefault="00717A41" w:rsidP="00717A41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 w:rsidRPr="00717A41">
        <w:rPr>
          <w:rFonts w:ascii="Times New Roman" w:hAnsi="Times New Roman"/>
          <w:sz w:val="20"/>
          <w:szCs w:val="20"/>
        </w:rPr>
        <w:t>indikator :</w:t>
      </w:r>
      <w:proofErr w:type="gramEnd"/>
      <w:r w:rsidRPr="00717A41">
        <w:rPr>
          <w:rFonts w:ascii="Times New Roman" w:hAnsi="Times New Roman"/>
          <w:sz w:val="20"/>
          <w:szCs w:val="20"/>
        </w:rPr>
        <w:t xml:space="preserve"> posjeta 2 grupe novinara ili medija , blogera , influensera  </w:t>
      </w:r>
    </w:p>
    <w:p w:rsidR="00F8051A" w:rsidRDefault="00F8051A" w:rsidP="00717A41">
      <w:pPr>
        <w:pStyle w:val="ListParagraph"/>
        <w:rPr>
          <w:rFonts w:ascii="Times New Roman" w:hAnsi="Times New Roman"/>
          <w:sz w:val="20"/>
          <w:szCs w:val="20"/>
        </w:rPr>
      </w:pPr>
    </w:p>
    <w:p w:rsidR="00F8051A" w:rsidRDefault="00F8051A" w:rsidP="00F8051A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Izrada štampanog promotivnog materijala TOBP (</w:t>
      </w:r>
      <w:proofErr w:type="gramStart"/>
      <w:r>
        <w:rPr>
          <w:rFonts w:ascii="Times New Roman" w:hAnsi="Times New Roman"/>
          <w:sz w:val="20"/>
          <w:szCs w:val="20"/>
        </w:rPr>
        <w:t>katalozi ,</w:t>
      </w:r>
      <w:proofErr w:type="gramEnd"/>
      <w:r>
        <w:rPr>
          <w:rFonts w:ascii="Times New Roman" w:hAnsi="Times New Roman"/>
          <w:sz w:val="20"/>
          <w:szCs w:val="20"/>
        </w:rPr>
        <w:t xml:space="preserve"> flajeri , brošure. kese , olovke i dr.)</w:t>
      </w:r>
    </w:p>
    <w:p w:rsidR="00F8051A" w:rsidRDefault="00F8051A" w:rsidP="00F8051A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realizacije:april , maj</w:t>
      </w:r>
    </w:p>
    <w:p w:rsidR="00F8051A" w:rsidRDefault="00F8051A" w:rsidP="00F8051A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 xml:space="preserve">: tiraž 1000 primjeraka </w:t>
      </w:r>
    </w:p>
    <w:p w:rsidR="00967FEE" w:rsidRDefault="00967FEE" w:rsidP="00F8051A">
      <w:pPr>
        <w:pStyle w:val="ListParagraph"/>
        <w:rPr>
          <w:rFonts w:ascii="Times New Roman" w:hAnsi="Times New Roman"/>
          <w:sz w:val="20"/>
          <w:szCs w:val="20"/>
        </w:rPr>
      </w:pPr>
    </w:p>
    <w:p w:rsidR="00F8051A" w:rsidRDefault="00F8051A" w:rsidP="00F8051A">
      <w:pPr>
        <w:rPr>
          <w:rFonts w:ascii="Times New Roman" w:hAnsi="Times New Roman"/>
          <w:sz w:val="20"/>
          <w:szCs w:val="20"/>
        </w:rPr>
      </w:pPr>
      <w:r w:rsidRPr="00567530">
        <w:rPr>
          <w:rFonts w:ascii="Times New Roman" w:hAnsi="Times New Roman"/>
          <w:b/>
          <w:sz w:val="20"/>
          <w:szCs w:val="20"/>
        </w:rPr>
        <w:t>Cilj c) Jačanje kapaciteta turističke privrede i kreiranje kvalitetne osnove za planiranje aktivnosti</w:t>
      </w:r>
      <w:r>
        <w:rPr>
          <w:rFonts w:ascii="Times New Roman" w:hAnsi="Times New Roman"/>
          <w:sz w:val="20"/>
          <w:szCs w:val="20"/>
        </w:rPr>
        <w:t>:</w:t>
      </w:r>
    </w:p>
    <w:p w:rsidR="00F8051A" w:rsidRPr="00F8051A" w:rsidRDefault="00F8051A" w:rsidP="00F805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F8051A">
        <w:rPr>
          <w:rFonts w:ascii="Times New Roman" w:hAnsi="Times New Roman"/>
          <w:sz w:val="20"/>
          <w:szCs w:val="20"/>
        </w:rPr>
        <w:t>rganizovanje sastanka sa turističkom privr</w:t>
      </w:r>
      <w:r w:rsidR="00567530">
        <w:rPr>
          <w:rFonts w:ascii="Times New Roman" w:hAnsi="Times New Roman"/>
          <w:sz w:val="20"/>
          <w:szCs w:val="20"/>
        </w:rPr>
        <w:t>e</w:t>
      </w:r>
      <w:r w:rsidRPr="00F8051A">
        <w:rPr>
          <w:rFonts w:ascii="Times New Roman" w:hAnsi="Times New Roman"/>
          <w:sz w:val="20"/>
          <w:szCs w:val="20"/>
        </w:rPr>
        <w:t xml:space="preserve">dom kao bi se razmijenila mišljenja ,ideje ,  sugestije , problemi i </w:t>
      </w:r>
      <w:r>
        <w:rPr>
          <w:rFonts w:ascii="Times New Roman" w:hAnsi="Times New Roman"/>
          <w:sz w:val="20"/>
          <w:szCs w:val="20"/>
        </w:rPr>
        <w:t>unapređenje saradnje sa isto</w:t>
      </w:r>
      <w:r w:rsidRPr="00F8051A">
        <w:rPr>
          <w:rFonts w:ascii="Times New Roman" w:hAnsi="Times New Roman"/>
          <w:sz w:val="20"/>
          <w:szCs w:val="20"/>
        </w:rPr>
        <w:t xml:space="preserve">m  </w:t>
      </w:r>
    </w:p>
    <w:p w:rsidR="00F8051A" w:rsidRDefault="00F8051A" w:rsidP="00F8051A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jednom kvartalno</w:t>
      </w:r>
    </w:p>
    <w:p w:rsidR="00F8051A" w:rsidRDefault="00F8051A" w:rsidP="00F8051A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>: broj sastanaka 3</w:t>
      </w:r>
    </w:p>
    <w:p w:rsidR="00567530" w:rsidRDefault="00567530" w:rsidP="00F8051A">
      <w:pPr>
        <w:pStyle w:val="ListParagraph"/>
        <w:rPr>
          <w:rFonts w:ascii="Times New Roman" w:hAnsi="Times New Roman"/>
          <w:sz w:val="20"/>
          <w:szCs w:val="20"/>
        </w:rPr>
      </w:pPr>
    </w:p>
    <w:p w:rsidR="00967FEE" w:rsidRDefault="00567530" w:rsidP="00967FEE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="00F8051A">
        <w:rPr>
          <w:rFonts w:ascii="Times New Roman" w:hAnsi="Times New Roman"/>
          <w:sz w:val="20"/>
          <w:szCs w:val="20"/>
        </w:rPr>
        <w:t xml:space="preserve">ealizacija istraživanja </w:t>
      </w:r>
      <w:r>
        <w:rPr>
          <w:rFonts w:ascii="Times New Roman" w:hAnsi="Times New Roman"/>
          <w:sz w:val="20"/>
          <w:szCs w:val="20"/>
        </w:rPr>
        <w:t>gostiju za potrebe analize turističkog prometa</w:t>
      </w:r>
    </w:p>
    <w:p w:rsidR="00967FEE" w:rsidRDefault="00567530" w:rsidP="00967FE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 w:rsidRPr="00967FEE">
        <w:rPr>
          <w:rFonts w:ascii="Times New Roman" w:hAnsi="Times New Roman"/>
          <w:sz w:val="20"/>
          <w:szCs w:val="20"/>
        </w:rPr>
        <w:t>rok</w:t>
      </w:r>
      <w:proofErr w:type="gramEnd"/>
      <w:r w:rsidRPr="00967FEE">
        <w:rPr>
          <w:rFonts w:ascii="Times New Roman" w:hAnsi="Times New Roman"/>
          <w:sz w:val="20"/>
          <w:szCs w:val="20"/>
        </w:rPr>
        <w:t xml:space="preserve"> realizacije: jun- </w:t>
      </w:r>
      <w:r w:rsidR="00967FEE">
        <w:rPr>
          <w:rFonts w:ascii="Times New Roman" w:hAnsi="Times New Roman"/>
          <w:sz w:val="20"/>
          <w:szCs w:val="20"/>
        </w:rPr>
        <w:t>septembar</w:t>
      </w:r>
    </w:p>
    <w:p w:rsidR="00567530" w:rsidRDefault="00567530" w:rsidP="00967FE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 w:rsidRPr="00967FEE">
        <w:rPr>
          <w:rFonts w:ascii="Times New Roman" w:hAnsi="Times New Roman"/>
          <w:sz w:val="20"/>
          <w:szCs w:val="20"/>
        </w:rPr>
        <w:t>indikator</w:t>
      </w:r>
      <w:proofErr w:type="gramEnd"/>
      <w:r w:rsidRPr="00967FEE">
        <w:rPr>
          <w:rFonts w:ascii="Times New Roman" w:hAnsi="Times New Roman"/>
          <w:sz w:val="20"/>
          <w:szCs w:val="20"/>
        </w:rPr>
        <w:t xml:space="preserve">: objavljeni rezultati istraživanja </w:t>
      </w:r>
    </w:p>
    <w:p w:rsidR="00967FEE" w:rsidRDefault="00967FEE" w:rsidP="00967FEE">
      <w:pPr>
        <w:pStyle w:val="ListParagraph"/>
        <w:rPr>
          <w:rFonts w:ascii="Times New Roman" w:hAnsi="Times New Roman"/>
          <w:sz w:val="20"/>
          <w:szCs w:val="20"/>
        </w:rPr>
      </w:pPr>
    </w:p>
    <w:p w:rsidR="00967FEE" w:rsidRPr="00967FEE" w:rsidRDefault="00967FEE" w:rsidP="00967FEE">
      <w:pPr>
        <w:pStyle w:val="ListParagraph"/>
        <w:rPr>
          <w:rFonts w:ascii="Times New Roman" w:hAnsi="Times New Roman"/>
          <w:sz w:val="20"/>
          <w:szCs w:val="20"/>
        </w:rPr>
      </w:pPr>
    </w:p>
    <w:p w:rsidR="00567530" w:rsidRDefault="00A3745E" w:rsidP="00567530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Organizovanje programa </w:t>
      </w:r>
      <w:r w:rsidR="005675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edukacije o  marketingu  i razvoju proizvoda  za zaposlene i predstavnike privrde</w:t>
      </w:r>
    </w:p>
    <w:p w:rsidR="00A3745E" w:rsidRDefault="00A3745E" w:rsidP="00A3745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realzacije: tokom godine</w:t>
      </w:r>
    </w:p>
    <w:p w:rsidR="00A3745E" w:rsidRDefault="00A3745E" w:rsidP="00A3745E">
      <w:pPr>
        <w:pStyle w:val="ListParagrap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 :</w:t>
      </w:r>
      <w:proofErr w:type="gramEnd"/>
      <w:r>
        <w:rPr>
          <w:rFonts w:ascii="Times New Roman" w:hAnsi="Times New Roman"/>
          <w:sz w:val="20"/>
          <w:szCs w:val="20"/>
        </w:rPr>
        <w:t xml:space="preserve"> 1 ili 2 edukacije </w:t>
      </w:r>
    </w:p>
    <w:p w:rsidR="00A3745E" w:rsidRDefault="00A3745E" w:rsidP="00A3745E">
      <w:pPr>
        <w:pStyle w:val="ListParagraph"/>
        <w:rPr>
          <w:rFonts w:ascii="Times New Roman" w:hAnsi="Times New Roman"/>
          <w:sz w:val="20"/>
          <w:szCs w:val="20"/>
        </w:rPr>
      </w:pPr>
    </w:p>
    <w:p w:rsidR="00A3745E" w:rsidRDefault="00A3745E" w:rsidP="00A3745E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Problemi TOBP</w:t>
      </w:r>
      <w:r w:rsidR="002E5205">
        <w:rPr>
          <w:rFonts w:ascii="Times New Roman" w:hAnsi="Times New Roman"/>
          <w:sz w:val="20"/>
          <w:szCs w:val="20"/>
        </w:rPr>
        <w:t xml:space="preserve"> </w:t>
      </w:r>
    </w:p>
    <w:p w:rsidR="00A3745E" w:rsidRDefault="00A3745E" w:rsidP="00A3745E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TOBP je jedna </w:t>
      </w:r>
      <w:r w:rsidR="002E5205">
        <w:rPr>
          <w:rFonts w:ascii="Times New Roman" w:hAnsi="Times New Roman"/>
          <w:sz w:val="20"/>
          <w:szCs w:val="20"/>
        </w:rPr>
        <w:t xml:space="preserve">od </w:t>
      </w:r>
      <w:r>
        <w:rPr>
          <w:rFonts w:ascii="Times New Roman" w:hAnsi="Times New Roman"/>
          <w:sz w:val="20"/>
          <w:szCs w:val="20"/>
        </w:rPr>
        <w:t xml:space="preserve">turističkih organizacija sa najmanjim brojem zaposlenih (5) pa je to jedan od značajnijih problema u radu kao i lokacija same institucije (sportska hala </w:t>
      </w:r>
      <w:proofErr w:type="gramStart"/>
      <w:r>
        <w:rPr>
          <w:rFonts w:ascii="Times New Roman" w:hAnsi="Times New Roman"/>
          <w:sz w:val="20"/>
          <w:szCs w:val="20"/>
        </w:rPr>
        <w:t>Nikoljac )</w:t>
      </w:r>
      <w:proofErr w:type="gram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Potrebno je</w:t>
      </w:r>
      <w:r w:rsidR="002E520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unaprijediti uslove za rad zaposlenih kako bi se povećala efikasnost u radu.</w:t>
      </w:r>
      <w:proofErr w:type="gramEnd"/>
      <w:r>
        <w:rPr>
          <w:rFonts w:ascii="Times New Roman" w:hAnsi="Times New Roman"/>
          <w:sz w:val="20"/>
          <w:szCs w:val="20"/>
        </w:rPr>
        <w:t xml:space="preserve"> Saradnja</w:t>
      </w:r>
      <w:r w:rsidR="002E5205">
        <w:rPr>
          <w:rFonts w:ascii="Times New Roman" w:hAnsi="Times New Roman"/>
          <w:sz w:val="20"/>
          <w:szCs w:val="20"/>
        </w:rPr>
        <w:t xml:space="preserve"> sa pojedinim privrednim subjektima nije na kval</w:t>
      </w:r>
      <w:r>
        <w:rPr>
          <w:rFonts w:ascii="Times New Roman" w:hAnsi="Times New Roman"/>
          <w:sz w:val="20"/>
          <w:szCs w:val="20"/>
        </w:rPr>
        <w:t xml:space="preserve">itetnom nivou </w:t>
      </w:r>
      <w:r w:rsidR="002E5205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pored vise pokušaja da se ona unaprijedi.Neophodno j</w:t>
      </w:r>
      <w:r w:rsidR="002E5205">
        <w:rPr>
          <w:rFonts w:ascii="Times New Roman" w:hAnsi="Times New Roman"/>
          <w:sz w:val="20"/>
          <w:szCs w:val="20"/>
        </w:rPr>
        <w:t>e donošenje Strategije razvoja t</w:t>
      </w:r>
      <w:r>
        <w:rPr>
          <w:rFonts w:ascii="Times New Roman" w:hAnsi="Times New Roman"/>
          <w:sz w:val="20"/>
          <w:szCs w:val="20"/>
        </w:rPr>
        <w:t xml:space="preserve">urizma Opštine Bijelo Polje </w:t>
      </w:r>
      <w:r w:rsidR="002E5205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 xml:space="preserve"> zavr</w:t>
      </w:r>
      <w:r w:rsidR="002E5205">
        <w:rPr>
          <w:rFonts w:ascii="Times New Roman" w:hAnsi="Times New Roman"/>
          <w:sz w:val="20"/>
          <w:szCs w:val="20"/>
        </w:rPr>
        <w:t>šetak dva najveća turistička pro</w:t>
      </w:r>
      <w:r>
        <w:rPr>
          <w:rFonts w:ascii="Times New Roman" w:hAnsi="Times New Roman"/>
          <w:sz w:val="20"/>
          <w:szCs w:val="20"/>
        </w:rPr>
        <w:t xml:space="preserve">jekta: valorizacija Đalovića pećine </w:t>
      </w:r>
      <w:r w:rsidR="002E5205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planine Bjelasice kako bi se uveli n</w:t>
      </w:r>
      <w:r w:rsidR="002E5205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vi turistički proizvodi </w:t>
      </w:r>
      <w:r w:rsidR="002E5205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kako bi samim tim </w:t>
      </w:r>
      <w:r w:rsidR="002E5205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uloga TOBP </w:t>
      </w:r>
      <w:r w:rsidR="002E5205">
        <w:rPr>
          <w:rFonts w:ascii="Times New Roman" w:hAnsi="Times New Roman"/>
          <w:sz w:val="20"/>
          <w:szCs w:val="20"/>
        </w:rPr>
        <w:t>u promociji istih bila mno</w:t>
      </w:r>
      <w:r>
        <w:rPr>
          <w:rFonts w:ascii="Times New Roman" w:hAnsi="Times New Roman"/>
          <w:sz w:val="20"/>
          <w:szCs w:val="20"/>
        </w:rPr>
        <w:t xml:space="preserve">go veća </w:t>
      </w:r>
      <w:r w:rsidR="002E5205">
        <w:rPr>
          <w:rFonts w:ascii="Times New Roman" w:hAnsi="Times New Roman"/>
          <w:sz w:val="20"/>
          <w:szCs w:val="20"/>
        </w:rPr>
        <w:t xml:space="preserve"> a time i Bijelo Polje dobilo bolje pozicioniranje kao turističke destinacije sjevera Crne Gore što do sada na žalost još nije slučaj.</w:t>
      </w:r>
    </w:p>
    <w:p w:rsidR="002E5205" w:rsidRDefault="002E5205" w:rsidP="00A3745E">
      <w:pPr>
        <w:pStyle w:val="ListParagraph"/>
        <w:rPr>
          <w:rFonts w:ascii="Times New Roman" w:hAnsi="Times New Roman"/>
          <w:sz w:val="20"/>
          <w:szCs w:val="20"/>
        </w:rPr>
      </w:pPr>
    </w:p>
    <w:p w:rsidR="00CE23A6" w:rsidRPr="00A3745E" w:rsidRDefault="00CE23A6" w:rsidP="00A3745E">
      <w:pPr>
        <w:pStyle w:val="ListParagraph"/>
        <w:ind w:left="1069"/>
        <w:rPr>
          <w:rFonts w:ascii="Times New Roman" w:hAnsi="Times New Roman"/>
          <w:b/>
          <w:sz w:val="20"/>
          <w:szCs w:val="20"/>
        </w:rPr>
      </w:pPr>
    </w:p>
    <w:p w:rsidR="00CE23A6" w:rsidRPr="00EB38E1" w:rsidRDefault="00CE23A6" w:rsidP="00EB38E1">
      <w:pPr>
        <w:pStyle w:val="ListParagraph"/>
        <w:numPr>
          <w:ilvl w:val="0"/>
          <w:numId w:val="3"/>
        </w:numPr>
        <w:rPr>
          <w:rStyle w:val="Emphasis"/>
          <w:rFonts w:ascii="Times New Roman" w:hAnsi="Times New Roman"/>
          <w:i w:val="0"/>
          <w:sz w:val="20"/>
          <w:szCs w:val="20"/>
        </w:rPr>
      </w:pPr>
      <w:r w:rsidRPr="00EB38E1">
        <w:rPr>
          <w:rStyle w:val="Emphasis"/>
          <w:rFonts w:ascii="Times New Roman" w:hAnsi="Times New Roman"/>
          <w:i w:val="0"/>
          <w:sz w:val="20"/>
          <w:szCs w:val="20"/>
        </w:rPr>
        <w:t>Praćenje turističkog prometa - Monitoring broja gostiju na dan</w:t>
      </w:r>
    </w:p>
    <w:p w:rsidR="00CE23A6" w:rsidRPr="00CE23A6" w:rsidRDefault="00EB38E1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Nastaviće se aktivnost vezana za monitoring broja gostiju svakog </w:t>
      </w:r>
      <w:proofErr w:type="gramStart"/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četvrtka ,</w:t>
      </w:r>
      <w:proofErr w:type="gramEnd"/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tako što se u direktnom kontaktu sa </w:t>
      </w: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  </w:t>
      </w:r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svim turističkim subjektima prikupljaju podaci o broju turista i na taj način se dolazi do broja registrovanih gostiju i vrši uporedni prikaz turističkog prometa u odnosu na prethodne godine. </w:t>
      </w:r>
      <w:proofErr w:type="gramStart"/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Dostavljanje podataka NTO CG je redovna aktivnost koja se radi po istom principu u svim gradovima Crne Gore.</w:t>
      </w:r>
      <w:proofErr w:type="gramEnd"/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Takođe, u tu aktivnost spada i prikupljanje podataka na godišnjem nivou i razne analize za potrebe TOBP, NTO </w:t>
      </w:r>
      <w:proofErr w:type="gramStart"/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CG ,</w:t>
      </w:r>
      <w:proofErr w:type="gramEnd"/>
      <w:r w:rsidR="00CE23A6"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 Ministarstva ekonomskog razvoja   i Opštine  Bijelo Polje .</w:t>
      </w:r>
    </w:p>
    <w:p w:rsidR="00CE23A6" w:rsidRPr="00CE23A6" w:rsidRDefault="00CE23A6" w:rsidP="00CE23A6">
      <w:pPr>
        <w:pStyle w:val="NoSpacing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Indikator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:poslati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tabelarni podaci Nacionalnoj turističkoj organizaciji Crne Gore svakog četvrtka putem mejla o broju gostiju u kolekti</w:t>
      </w:r>
      <w:r w:rsidR="00B77F76">
        <w:rPr>
          <w:rStyle w:val="Emphasis"/>
          <w:rFonts w:ascii="Times New Roman" w:hAnsi="Times New Roman" w:cs="Times New Roman"/>
          <w:i w:val="0"/>
          <w:sz w:val="20"/>
          <w:szCs w:val="20"/>
        </w:rPr>
        <w:t>vnom i privatnom smještaju kao i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struktura gostiju (iz kojih država dolaze)</w:t>
      </w:r>
    </w:p>
    <w:p w:rsidR="00CE23A6" w:rsidRPr="00CE23A6" w:rsidRDefault="00CE23A6" w:rsidP="00CE23A6">
      <w:pPr>
        <w:pStyle w:val="NoSpacing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Rok realizacije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: kontinuirano </w:t>
      </w:r>
    </w:p>
    <w:p w:rsidR="00CE23A6" w:rsidRDefault="00CE23A6" w:rsidP="00CE23A6">
      <w:pPr>
        <w:widowControl w:val="0"/>
        <w:kinsoku w:val="0"/>
        <w:autoSpaceDE w:val="0"/>
        <w:autoSpaceDN w:val="0"/>
        <w:adjustRightInd w:val="0"/>
        <w:spacing w:before="10" w:after="0" w:line="252" w:lineRule="auto"/>
        <w:ind w:right="5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</w:p>
    <w:p w:rsidR="00CE23A6" w:rsidRPr="00EB38E1" w:rsidRDefault="00CE23A6" w:rsidP="00EB38E1">
      <w:pPr>
        <w:pStyle w:val="ListParagraph"/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0" w:after="0" w:line="252" w:lineRule="auto"/>
        <w:ind w:right="5"/>
        <w:jc w:val="both"/>
        <w:rPr>
          <w:rStyle w:val="Emphasis"/>
          <w:rFonts w:ascii="Times New Roman" w:eastAsiaTheme="minorHAnsi" w:hAnsi="Times New Roman"/>
          <w:i w:val="0"/>
          <w:sz w:val="20"/>
          <w:szCs w:val="20"/>
        </w:rPr>
      </w:pPr>
      <w:r w:rsidRPr="00EB38E1">
        <w:rPr>
          <w:rStyle w:val="Emphasis"/>
          <w:rFonts w:ascii="Times New Roman" w:hAnsi="Times New Roman"/>
          <w:i w:val="0"/>
          <w:sz w:val="20"/>
          <w:szCs w:val="20"/>
        </w:rPr>
        <w:t xml:space="preserve">Prijava i odjava boravka stranaca </w:t>
      </w:r>
    </w:p>
    <w:p w:rsidR="00CE23A6" w:rsidRPr="00CE23A6" w:rsidRDefault="00CE23A6" w:rsidP="00CE23A6">
      <w:pPr>
        <w:pStyle w:val="ListParagraph"/>
        <w:widowControl w:val="0"/>
        <w:kinsoku w:val="0"/>
        <w:autoSpaceDE w:val="0"/>
        <w:autoSpaceDN w:val="0"/>
        <w:adjustRightInd w:val="0"/>
        <w:spacing w:before="10" w:after="0" w:line="252" w:lineRule="auto"/>
        <w:ind w:right="5"/>
        <w:jc w:val="both"/>
        <w:rPr>
          <w:rStyle w:val="Emphasis"/>
          <w:rFonts w:ascii="Times New Roman" w:hAnsi="Times New Roman"/>
          <w:i w:val="0"/>
          <w:sz w:val="20"/>
          <w:szCs w:val="20"/>
        </w:rPr>
      </w:pPr>
    </w:p>
    <w:p w:rsidR="00CE23A6" w:rsidRDefault="00CE23A6" w:rsidP="00CE23A6">
      <w:pPr>
        <w:pStyle w:val="NoSpacing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Na osnovu Zakona o strancima, turističke organizacije su u obavezi da zajedno sa MUP –om vrše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prijavu  i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odjavu  stranih  lica, tj osoba koje nemaju crnogorsko državljanstvo. Prijava se vrši u prostorijaa Turističke organizacije Bijelo Polje svakog radnog dana od 07-15 h a tokom ljetnje turističke sezone organizuje se i rad u drugoj smjeni za poslove prijave </w:t>
      </w:r>
      <w:r w:rsidR="00B77F7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i odjave boravka stranaca.U toku  2023.godine  unaprijeđen je softver RB90 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B77F7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(firma Primatec), 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zaposleni u TOBP su prosli obuku na softveru za prijavu koja je inovirana od strane NTO </w:t>
      </w:r>
      <w:r w:rsidR="00B77F76">
        <w:rPr>
          <w:rStyle w:val="Emphasis"/>
          <w:rFonts w:ascii="Times New Roman" w:hAnsi="Times New Roman" w:cs="Times New Roman"/>
          <w:i w:val="0"/>
          <w:sz w:val="20"/>
          <w:szCs w:val="20"/>
        </w:rPr>
        <w:t>CG kako bi se što vise olakšao i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ubrzao postupak prijave u korist lica koja dolaze da se prijave na osnovu zakons</w:t>
      </w:r>
      <w:r w:rsidR="00B77F7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ke obaveze ulaska u Crnu Goru. 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</w:t>
      </w:r>
    </w:p>
    <w:p w:rsidR="00CE23A6" w:rsidRPr="00CE23A6" w:rsidRDefault="00CE23A6" w:rsidP="00CE23A6">
      <w:pPr>
        <w:pStyle w:val="NoSpacing"/>
        <w:rPr>
          <w:rStyle w:val="Emphasis"/>
          <w:rFonts w:ascii="Times New Roman" w:hAnsi="Times New Roman" w:cs="Times New Roman"/>
          <w:i w:val="0"/>
          <w:sz w:val="20"/>
          <w:szCs w:val="20"/>
        </w:rPr>
      </w:pPr>
    </w:p>
    <w:p w:rsidR="00CE23A6" w:rsidRPr="00CE23A6" w:rsidRDefault="00CE23A6" w:rsidP="00CE23A6">
      <w:pPr>
        <w:pStyle w:val="NoSpacing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Indikator: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poslati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tabelarni  mjesečni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podaci Monstatu o broju prijavljenih u sistemu RBN 90</w:t>
      </w:r>
    </w:p>
    <w:p w:rsidR="00CE23A6" w:rsidRPr="00CE23A6" w:rsidRDefault="00CE23A6" w:rsidP="00CE23A6">
      <w:pPr>
        <w:pStyle w:val="NoSpacing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rok</w:t>
      </w:r>
      <w:proofErr w:type="gramEnd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 realizacije</w:t>
      </w:r>
      <w:r w:rsidRPr="00CE23A6">
        <w:rPr>
          <w:rStyle w:val="Emphasis"/>
          <w:rFonts w:cstheme="minorHAnsi"/>
          <w:sz w:val="20"/>
          <w:szCs w:val="20"/>
        </w:rPr>
        <w:t>:</w:t>
      </w:r>
      <w:r w:rsidRPr="00CE23A6">
        <w:rPr>
          <w:rStyle w:val="Emphasis"/>
          <w:rFonts w:cstheme="minorHAnsi"/>
          <w:i w:val="0"/>
          <w:sz w:val="20"/>
          <w:szCs w:val="20"/>
        </w:rPr>
        <w:t xml:space="preserve">kontinuirano </w:t>
      </w:r>
    </w:p>
    <w:p w:rsidR="00CE23A6" w:rsidRPr="00CE23A6" w:rsidRDefault="00CE23A6" w:rsidP="00CE23A6">
      <w:pPr>
        <w:rPr>
          <w:sz w:val="20"/>
          <w:szCs w:val="20"/>
        </w:rPr>
      </w:pPr>
    </w:p>
    <w:p w:rsidR="00CE23A6" w:rsidRPr="00EB38E1" w:rsidRDefault="00CE23A6" w:rsidP="00EB38E1">
      <w:pPr>
        <w:pStyle w:val="ListParagraph"/>
        <w:numPr>
          <w:ilvl w:val="0"/>
          <w:numId w:val="3"/>
        </w:numPr>
        <w:rPr>
          <w:rStyle w:val="Emphasis"/>
          <w:rFonts w:ascii="Times New Roman" w:hAnsi="Times New Roman"/>
          <w:i w:val="0"/>
          <w:sz w:val="20"/>
          <w:szCs w:val="20"/>
        </w:rPr>
      </w:pPr>
      <w:r w:rsidRPr="00EB38E1">
        <w:rPr>
          <w:rStyle w:val="Emphasis"/>
          <w:rFonts w:ascii="Times New Roman" w:hAnsi="Times New Roman"/>
          <w:i w:val="0"/>
          <w:sz w:val="20"/>
          <w:szCs w:val="20"/>
        </w:rPr>
        <w:t xml:space="preserve">Informativno – promotivna djelatnost </w:t>
      </w:r>
    </w:p>
    <w:p w:rsidR="00CE23A6" w:rsidRPr="00CE23A6" w:rsidRDefault="00CE23A6" w:rsidP="00CE23A6">
      <w:pPr>
        <w:pStyle w:val="ListParagraph"/>
        <w:rPr>
          <w:rStyle w:val="Emphasis"/>
          <w:rFonts w:ascii="Times New Roman" w:hAnsi="Times New Roman"/>
          <w:i w:val="0"/>
          <w:sz w:val="20"/>
          <w:szCs w:val="20"/>
        </w:rPr>
      </w:pPr>
    </w:p>
    <w:p w:rsidR="00CE23A6" w:rsidRDefault="00CE23A6" w:rsidP="00CE23A6">
      <w:pPr>
        <w:pStyle w:val="ListParagraph"/>
        <w:numPr>
          <w:ilvl w:val="0"/>
          <w:numId w:val="8"/>
        </w:numPr>
        <w:rPr>
          <w:rStyle w:val="Emphasis"/>
          <w:rFonts w:ascii="Times New Roman" w:hAnsi="Times New Roman"/>
          <w:i w:val="0"/>
          <w:sz w:val="20"/>
          <w:szCs w:val="20"/>
        </w:rPr>
      </w:pPr>
      <w:r>
        <w:rPr>
          <w:rStyle w:val="Emphasis"/>
          <w:rFonts w:ascii="Times New Roman" w:hAnsi="Times New Roman"/>
          <w:i w:val="0"/>
          <w:sz w:val="20"/>
          <w:szCs w:val="20"/>
        </w:rPr>
        <w:t xml:space="preserve">web sajt </w:t>
      </w:r>
      <w:hyperlink r:id="rId8" w:history="1">
        <w:r w:rsidRPr="00AA46DB">
          <w:rPr>
            <w:rStyle w:val="Hyperlink"/>
            <w:rFonts w:ascii="Times New Roman" w:hAnsi="Times New Roman"/>
            <w:sz w:val="20"/>
            <w:szCs w:val="20"/>
          </w:rPr>
          <w:t>www.tobp.me</w:t>
        </w:r>
      </w:hyperlink>
    </w:p>
    <w:p w:rsidR="00CE23A6" w:rsidRPr="008053B7" w:rsidRDefault="00CE23A6" w:rsidP="008053B7">
      <w:pPr>
        <w:rPr>
          <w:rStyle w:val="Emphasis"/>
          <w:rFonts w:ascii="Times New Roman" w:hAnsi="Times New Roman"/>
          <w:i w:val="0"/>
          <w:sz w:val="20"/>
          <w:szCs w:val="20"/>
        </w:rPr>
      </w:pPr>
      <w:r w:rsidRPr="008053B7">
        <w:rPr>
          <w:rStyle w:val="Emphasis"/>
          <w:rFonts w:ascii="Times New Roman" w:hAnsi="Times New Roman"/>
          <w:i w:val="0"/>
          <w:sz w:val="20"/>
          <w:szCs w:val="20"/>
        </w:rPr>
        <w:t xml:space="preserve">Kontinuirano ažuriranje </w:t>
      </w:r>
      <w:proofErr w:type="gramStart"/>
      <w:r w:rsidRPr="008053B7">
        <w:rPr>
          <w:rStyle w:val="Emphasis"/>
          <w:rFonts w:ascii="Times New Roman" w:hAnsi="Times New Roman"/>
          <w:i w:val="0"/>
          <w:sz w:val="20"/>
          <w:szCs w:val="20"/>
        </w:rPr>
        <w:t>novog  web</w:t>
      </w:r>
      <w:proofErr w:type="gramEnd"/>
      <w:r w:rsidRPr="008053B7">
        <w:rPr>
          <w:rStyle w:val="Emphasis"/>
          <w:rFonts w:ascii="Times New Roman" w:hAnsi="Times New Roman"/>
          <w:i w:val="0"/>
          <w:sz w:val="20"/>
          <w:szCs w:val="20"/>
        </w:rPr>
        <w:t xml:space="preserve"> portala Turističke organizacije Bijelo Polje www.tobp.me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Najveći broj turista se informiše putem interneta( sajta TOBP i sajta Opštine BP) o Bijelom Polju i njegovoj turističkoj ponudi.Novi  sajt Turističke organizacije Bijelo Polje  </w:t>
      </w:r>
      <w:hyperlink r:id="rId9" w:history="1">
        <w:r w:rsidRPr="00CE23A6">
          <w:rPr>
            <w:rStyle w:val="Emphasis"/>
            <w:rFonts w:ascii="Times New Roman" w:hAnsi="Times New Roman" w:cs="Times New Roman"/>
            <w:i w:val="0"/>
            <w:sz w:val="20"/>
            <w:szCs w:val="20"/>
          </w:rPr>
          <w:t>www.tobp.me</w:t>
        </w:r>
      </w:hyperlink>
      <w:r w:rsidR="008053B7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koji  je  od j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anuara 2022.godine aktiviran će se  redovno sa svim neophodnim informacijama koje se tiču turističke ponude azurirati, takođe sve bitne informacije sa sajta NTO CG i resornog Ministarstva će biti preuzete i postavljene na sajt TOBP kako bi se lakše doslo do svih bitnih informacija naročito tokom trajanja ljetnje turističke sezone.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lastRenderedPageBreak/>
        <w:t xml:space="preserve">Takođe i na sajtu NTO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CG  </w:t>
      </w:r>
      <w:proofErr w:type="gramEnd"/>
      <w:r w:rsidR="005B27DC">
        <w:fldChar w:fldCharType="begin"/>
      </w:r>
      <w:r w:rsidR="005B27DC">
        <w:instrText xml:space="preserve"> HYPERLINK "http://www.montenegrotravel.me" </w:instrText>
      </w:r>
      <w:r w:rsidR="005B27DC">
        <w:fldChar w:fldCharType="separate"/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www.montenegrotravel.me</w:t>
      </w:r>
      <w:r w:rsidR="005B27DC">
        <w:rPr>
          <w:rStyle w:val="Emphasis"/>
          <w:rFonts w:ascii="Times New Roman" w:hAnsi="Times New Roman" w:cs="Times New Roman"/>
          <w:i w:val="0"/>
          <w:sz w:val="20"/>
          <w:szCs w:val="20"/>
        </w:rPr>
        <w:fldChar w:fldCharType="end"/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se nalaze sve bitne informacije koje se odnose na turističku ponudu Bijelog Polja </w:t>
      </w:r>
    </w:p>
    <w:p w:rsid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Indikator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: povećan br</w:t>
      </w:r>
      <w:r w:rsidR="008053B7">
        <w:rPr>
          <w:rStyle w:val="Emphasis"/>
          <w:rFonts w:ascii="Times New Roman" w:hAnsi="Times New Roman" w:cs="Times New Roman"/>
          <w:i w:val="0"/>
          <w:sz w:val="20"/>
          <w:szCs w:val="20"/>
        </w:rPr>
        <w:t>oj posjeta i pregleda sajta za 3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0%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Rok realizacje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: do kraja I</w:t>
      </w: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>V kvartala 2024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.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godine</w:t>
      </w:r>
      <w:proofErr w:type="gramEnd"/>
    </w:p>
    <w:p w:rsidR="00CE23A6" w:rsidRPr="00EB38E1" w:rsidRDefault="00CE23A6" w:rsidP="00CE23A6">
      <w:pPr>
        <w:pStyle w:val="ListParagraph"/>
        <w:numPr>
          <w:ilvl w:val="0"/>
          <w:numId w:val="8"/>
        </w:numPr>
        <w:rPr>
          <w:rStyle w:val="Emphasis"/>
          <w:rFonts w:ascii="Times New Roman" w:hAnsi="Times New Roman"/>
          <w:i w:val="0"/>
          <w:sz w:val="20"/>
          <w:szCs w:val="20"/>
        </w:rPr>
      </w:pPr>
      <w:r w:rsidRPr="00EB38E1">
        <w:rPr>
          <w:rStyle w:val="Emphasis"/>
          <w:rFonts w:ascii="Times New Roman" w:hAnsi="Times New Roman"/>
          <w:i w:val="0"/>
          <w:sz w:val="20"/>
          <w:szCs w:val="20"/>
        </w:rPr>
        <w:t>Društvene mreže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Imajući u vidu značaj društvenih mreža kako na informisanje tako i na promociju,stranice  instagrama i facebooka  Turističke organizacije Bijelo Polje će se kontinuirano ažurirati putem  kojih će se </w:t>
      </w: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>tokom 2024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.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godine  promovisati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turistička ponuda Bijelog Polja . 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indikato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r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: povećan broj pratilaca na Ins</w:t>
      </w:r>
      <w:r w:rsidR="008053B7">
        <w:rPr>
          <w:rStyle w:val="Emphasis"/>
          <w:rFonts w:ascii="Times New Roman" w:hAnsi="Times New Roman" w:cs="Times New Roman"/>
          <w:i w:val="0"/>
          <w:sz w:val="20"/>
          <w:szCs w:val="20"/>
        </w:rPr>
        <w:t>tagramu i Fb stranici TOBP  za 3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0%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rok</w:t>
      </w:r>
      <w:proofErr w:type="gramEnd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 realizacje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: kontinuirano </w:t>
      </w:r>
    </w:p>
    <w:p w:rsidR="00CE23A6" w:rsidRPr="00EB38E1" w:rsidRDefault="00CE23A6" w:rsidP="00CE23A6">
      <w:pPr>
        <w:pStyle w:val="ListParagraph"/>
        <w:numPr>
          <w:ilvl w:val="0"/>
          <w:numId w:val="8"/>
        </w:numPr>
        <w:rPr>
          <w:rStyle w:val="Emphasis"/>
          <w:rFonts w:ascii="Times New Roman" w:hAnsi="Times New Roman"/>
          <w:i w:val="0"/>
          <w:sz w:val="20"/>
          <w:szCs w:val="20"/>
        </w:rPr>
      </w:pPr>
      <w:r w:rsidRPr="00EB38E1">
        <w:rPr>
          <w:rStyle w:val="Emphasis"/>
          <w:rFonts w:ascii="Times New Roman" w:hAnsi="Times New Roman"/>
          <w:i w:val="0"/>
          <w:sz w:val="20"/>
          <w:szCs w:val="20"/>
        </w:rPr>
        <w:t xml:space="preserve">Realizacija promotivnih aktivnosti 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Planiran je nastavak saradnje sa štampanim i elektronskim medijima u Crnoj Gori i okruženju sa ciljem objavljivanja reportaža o Bijelom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Polju  i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turističkoj ponudi grada..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Organizacija konferencija za novinare, pripremanje PR tekstova i saopštenja za medije, organizacija intervjua, gostovanja u emisijama će takođe biti redovne aktivnosti   koje će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sprovoditi  TOBP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.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Indikator:</w:t>
      </w: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realizovano </w:t>
      </w:r>
      <w:proofErr w:type="gramStart"/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>10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 press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konferencija , gostovanja na TV i radio emisijama , datih intervjua i obavještenja za javnost putem medija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Rok realizacije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: kontinuirano </w:t>
      </w:r>
    </w:p>
    <w:p w:rsidR="00CE23A6" w:rsidRPr="00EB38E1" w:rsidRDefault="00CE23A6" w:rsidP="00EB38E1">
      <w:pPr>
        <w:pStyle w:val="ListParagraph"/>
        <w:numPr>
          <w:ilvl w:val="0"/>
          <w:numId w:val="3"/>
        </w:numPr>
        <w:rPr>
          <w:rStyle w:val="Emphasis"/>
          <w:rFonts w:ascii="Times New Roman" w:hAnsi="Times New Roman"/>
          <w:i w:val="0"/>
          <w:sz w:val="20"/>
          <w:szCs w:val="20"/>
        </w:rPr>
      </w:pPr>
      <w:r w:rsidRPr="00EB38E1">
        <w:rPr>
          <w:rStyle w:val="Emphasis"/>
          <w:rFonts w:ascii="Times New Roman" w:hAnsi="Times New Roman"/>
          <w:i w:val="0"/>
          <w:sz w:val="20"/>
          <w:szCs w:val="20"/>
        </w:rPr>
        <w:t xml:space="preserve">Saradnja </w:t>
      </w:r>
    </w:p>
    <w:p w:rsidR="00CE23A6" w:rsidRP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TOBP će sarađivati sa organima lokalne samouprave kao njenim osnivačem u cilju donošenja  sprovođenja mjera u skladu sa strateškim planom Opštine Bijelo Polje  u okviru kojeg su i mjere unapređenja turizma u opštini .Takođe TOBP će nastaviti  uspješnu saradnju  sa svim nevladinim  organizacijama  u opštini a koji svojim programom ili ciljom osnivanja  imaju unapređenje turizma u gradu  ili sa turizmom  povezanih djelatnosti ( poljoprivreda , zaštita životne sredine i sl.)</w:t>
      </w:r>
    </w:p>
    <w:p w:rsid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Saradnja sa </w:t>
      </w:r>
      <w:r w:rsidR="00E133E9">
        <w:rPr>
          <w:rStyle w:val="Emphasis"/>
          <w:rFonts w:ascii="Times New Roman" w:hAnsi="Times New Roman" w:cs="Times New Roman"/>
          <w:i w:val="0"/>
          <w:sz w:val="20"/>
          <w:szCs w:val="20"/>
        </w:rPr>
        <w:t>M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inistarstvom</w:t>
      </w:r>
      <w:r w:rsidR="00E133E9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turizma , ekologije , održivog razvoja  i</w:t>
      </w:r>
      <w:bookmarkStart w:id="0" w:name="_GoBack"/>
      <w:bookmarkEnd w:id="0"/>
      <w:r w:rsidR="00E133E9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razvoja sjevera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, NTO  CG  , drugim turističkim organizacijama  i svim onim subjektima sa područja opštine i države će i dalje biti jedna od bitnih akt</w:t>
      </w: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>ivnosti TOBP i u 2024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.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godini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.</w:t>
      </w:r>
    </w:p>
    <w:p w:rsid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rok</w:t>
      </w:r>
      <w:proofErr w:type="gramEnd"/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 xml:space="preserve"> realizacije</w:t>
      </w: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>:kontinuirano</w:t>
      </w:r>
    </w:p>
    <w:p w:rsidR="00CE23A6" w:rsidRDefault="00CE23A6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 w:rsidRPr="00CE23A6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Indikator:</w:t>
      </w:r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održavanje 2 </w:t>
      </w:r>
      <w:proofErr w:type="gramStart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>zajednička  sastanka</w:t>
      </w:r>
      <w:proofErr w:type="gramEnd"/>
      <w:r w:rsidRPr="00CE23A6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sa drugim LTO iz regiona</w:t>
      </w:r>
    </w:p>
    <w:p w:rsidR="005B27DC" w:rsidRDefault="005B27DC" w:rsidP="00CE23A6">
      <w:pPr>
        <w:rPr>
          <w:rStyle w:val="Emphasis"/>
          <w:rFonts w:ascii="Times New Roman" w:hAnsi="Times New Roman" w:cs="Times New Roman"/>
          <w:i w:val="0"/>
          <w:sz w:val="20"/>
          <w:szCs w:val="20"/>
        </w:rPr>
      </w:pPr>
    </w:p>
    <w:p w:rsidR="00EB38E1" w:rsidRPr="005B27DC" w:rsidRDefault="00EB38E1" w:rsidP="005B27DC">
      <w:pPr>
        <w:rPr>
          <w:rFonts w:ascii="Times New Roman" w:hAnsi="Times New Roman"/>
          <w:b/>
          <w:sz w:val="20"/>
          <w:szCs w:val="20"/>
        </w:rPr>
      </w:pPr>
      <w:r w:rsidRPr="005B27DC">
        <w:rPr>
          <w:rFonts w:ascii="Times New Roman" w:hAnsi="Times New Roman"/>
          <w:b/>
          <w:sz w:val="20"/>
          <w:szCs w:val="20"/>
        </w:rPr>
        <w:t>Cilj d) Suzbijanje sive ekonomije</w:t>
      </w:r>
    </w:p>
    <w:p w:rsidR="00EB38E1" w:rsidRDefault="00EB38E1" w:rsidP="00EB38E1">
      <w:pPr>
        <w:pStyle w:val="ListParagraph"/>
        <w:rPr>
          <w:rFonts w:ascii="Times New Roman" w:hAnsi="Times New Roman"/>
          <w:b/>
          <w:sz w:val="20"/>
          <w:szCs w:val="20"/>
        </w:rPr>
      </w:pPr>
    </w:p>
    <w:p w:rsidR="00EB38E1" w:rsidRDefault="00EB38E1" w:rsidP="00EB38E1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A3745E">
        <w:rPr>
          <w:rFonts w:ascii="Times New Roman" w:hAnsi="Times New Roman"/>
          <w:sz w:val="20"/>
          <w:szCs w:val="20"/>
        </w:rPr>
        <w:t xml:space="preserve">aradnja sa nadležnim institucijama (inspekcije, ministrstvo </w:t>
      </w:r>
      <w:r>
        <w:rPr>
          <w:rFonts w:ascii="Times New Roman" w:hAnsi="Times New Roman"/>
          <w:sz w:val="20"/>
          <w:szCs w:val="20"/>
        </w:rPr>
        <w:t xml:space="preserve">) </w:t>
      </w:r>
      <w:r w:rsidRPr="00A3745E">
        <w:rPr>
          <w:rFonts w:ascii="Times New Roman" w:hAnsi="Times New Roman"/>
          <w:sz w:val="20"/>
          <w:szCs w:val="20"/>
        </w:rPr>
        <w:t>u cilju suzbijanja</w:t>
      </w:r>
      <w:r>
        <w:rPr>
          <w:rFonts w:ascii="Times New Roman" w:hAnsi="Times New Roman"/>
          <w:sz w:val="20"/>
          <w:szCs w:val="20"/>
        </w:rPr>
        <w:t xml:space="preserve"> </w:t>
      </w:r>
      <w:r w:rsidRPr="00A3745E">
        <w:rPr>
          <w:rFonts w:ascii="Times New Roman" w:hAnsi="Times New Roman"/>
          <w:sz w:val="20"/>
          <w:szCs w:val="20"/>
        </w:rPr>
        <w:t>sive ekonomije</w:t>
      </w:r>
    </w:p>
    <w:p w:rsidR="00EB38E1" w:rsidRDefault="00EB38E1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rok</w:t>
      </w:r>
      <w:proofErr w:type="gramEnd"/>
      <w:r>
        <w:rPr>
          <w:rFonts w:ascii="Times New Roman" w:hAnsi="Times New Roman"/>
          <w:sz w:val="20"/>
          <w:szCs w:val="20"/>
        </w:rPr>
        <w:t xml:space="preserve"> realizacije: III kvartal</w:t>
      </w:r>
    </w:p>
    <w:p w:rsidR="00EB38E1" w:rsidRDefault="00EB38E1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indikator</w:t>
      </w:r>
      <w:proofErr w:type="gramEnd"/>
      <w:r>
        <w:rPr>
          <w:rFonts w:ascii="Times New Roman" w:hAnsi="Times New Roman"/>
          <w:sz w:val="20"/>
          <w:szCs w:val="20"/>
        </w:rPr>
        <w:t xml:space="preserve">: održavanje 3 sastanka sa nadležnim institucijama </w:t>
      </w:r>
    </w:p>
    <w:p w:rsidR="005B27DC" w:rsidRDefault="005B27DC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</w:p>
    <w:p w:rsidR="005B27DC" w:rsidRDefault="005B27DC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</w:p>
    <w:p w:rsidR="005B27DC" w:rsidRDefault="005B27DC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</w:p>
    <w:p w:rsidR="005B27DC" w:rsidRDefault="005B27DC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</w:p>
    <w:p w:rsidR="005B27DC" w:rsidRDefault="005B27DC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</w:p>
    <w:p w:rsidR="005B27DC" w:rsidRDefault="005B27DC" w:rsidP="00EB38E1">
      <w:pPr>
        <w:pStyle w:val="ListParagraph"/>
        <w:ind w:left="1069"/>
        <w:rPr>
          <w:rFonts w:ascii="Times New Roman" w:hAnsi="Times New Roman"/>
          <w:sz w:val="20"/>
          <w:szCs w:val="20"/>
        </w:rPr>
      </w:pPr>
    </w:p>
    <w:p w:rsidR="005B27DC" w:rsidRDefault="005B27DC" w:rsidP="005B27DC">
      <w:pPr>
        <w:pStyle w:val="ListParagraph"/>
        <w:rPr>
          <w:rFonts w:ascii="Times New Roman" w:hAnsi="Times New Roman"/>
          <w:b/>
          <w:sz w:val="20"/>
          <w:szCs w:val="20"/>
        </w:rPr>
      </w:pPr>
      <w:r w:rsidRPr="005B27DC">
        <w:rPr>
          <w:rFonts w:ascii="Times New Roman" w:hAnsi="Times New Roman"/>
          <w:b/>
          <w:sz w:val="20"/>
          <w:szCs w:val="20"/>
        </w:rPr>
        <w:t xml:space="preserve">Problemi TOBP </w:t>
      </w:r>
    </w:p>
    <w:p w:rsidR="005B27DC" w:rsidRPr="005B27DC" w:rsidRDefault="005B27DC" w:rsidP="005B27DC">
      <w:pPr>
        <w:pStyle w:val="ListParagraph"/>
        <w:rPr>
          <w:rFonts w:ascii="Times New Roman" w:hAnsi="Times New Roman"/>
          <w:b/>
          <w:sz w:val="20"/>
          <w:szCs w:val="20"/>
        </w:rPr>
      </w:pPr>
    </w:p>
    <w:p w:rsidR="005B27DC" w:rsidRDefault="005B27DC" w:rsidP="005B27DC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TOBP je jedna od turističkih organizacija sa najmanjim brojem zaposlenih (5) pa je to jedan od značajnijih problema u radu kao i lokacija same institucije (sportska hala </w:t>
      </w:r>
      <w:proofErr w:type="gramStart"/>
      <w:r>
        <w:rPr>
          <w:rFonts w:ascii="Times New Roman" w:hAnsi="Times New Roman"/>
          <w:sz w:val="20"/>
          <w:szCs w:val="20"/>
        </w:rPr>
        <w:t>Nikoljac )</w:t>
      </w:r>
      <w:proofErr w:type="gram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Potrebno je unaprijediti uslove za rad zaposlenih kako bi se povećala efikasnost u radu.</w:t>
      </w:r>
      <w:proofErr w:type="gramEnd"/>
      <w:r>
        <w:rPr>
          <w:rFonts w:ascii="Times New Roman" w:hAnsi="Times New Roman"/>
          <w:sz w:val="20"/>
          <w:szCs w:val="20"/>
        </w:rPr>
        <w:t xml:space="preserve"> Saradnja sa pojedinim privrednim subjektima nije na kvalitetnom nivou i pored vi</w:t>
      </w:r>
      <w:r>
        <w:rPr>
          <w:rFonts w:ascii="Times New Roman" w:hAnsi="Times New Roman"/>
          <w:sz w:val="20"/>
          <w:szCs w:val="20"/>
          <w:lang w:val="sr-Latn-RS"/>
        </w:rPr>
        <w:t>š</w:t>
      </w:r>
      <w:r>
        <w:rPr>
          <w:rFonts w:ascii="Times New Roman" w:hAnsi="Times New Roman"/>
          <w:sz w:val="20"/>
          <w:szCs w:val="20"/>
        </w:rPr>
        <w:t>e pokušaja da se ona unaprijedi.Neophodno je donošenje Strategije razvoja turizma Opštine Bijelo Polje i  završetak dva najveća turistička projekta: valorizacija Đalovića pećine i planine Bjelasice kako bi se uveli novi turistički proizvodi i kako bi samim tim i uloga TOBP u promociji istih bila mnogo veća  a time i Bijelo Polje dobilo bolje pozicioniranje kao turističke destinacije sjevera Crne Gore što do sada na žalost još nije slučaj.</w:t>
      </w:r>
    </w:p>
    <w:p w:rsidR="005B27DC" w:rsidRDefault="005B27DC" w:rsidP="005B27DC">
      <w:pPr>
        <w:pStyle w:val="ListParagraph"/>
        <w:rPr>
          <w:rFonts w:ascii="Times New Roman" w:hAnsi="Times New Roman"/>
          <w:sz w:val="20"/>
          <w:szCs w:val="20"/>
        </w:rPr>
      </w:pPr>
    </w:p>
    <w:p w:rsidR="005B27DC" w:rsidRPr="00EB38E1" w:rsidRDefault="005B27DC" w:rsidP="00EB38E1">
      <w:pPr>
        <w:pStyle w:val="ListParagraph"/>
        <w:ind w:left="1069"/>
        <w:rPr>
          <w:rStyle w:val="Emphasis"/>
          <w:rFonts w:ascii="Times New Roman" w:hAnsi="Times New Roman"/>
          <w:i w:val="0"/>
          <w:iCs w:val="0"/>
          <w:sz w:val="20"/>
          <w:szCs w:val="20"/>
        </w:rPr>
      </w:pPr>
    </w:p>
    <w:p w:rsidR="00545604" w:rsidRDefault="00B77F76" w:rsidP="00B77F76">
      <w:pPr>
        <w:jc w:val="right"/>
        <w:rPr>
          <w:rStyle w:val="Emphasis"/>
          <w:rFonts w:ascii="Times New Roman" w:hAnsi="Times New Roman" w:cs="Times New Roman"/>
          <w:i w:val="0"/>
          <w:sz w:val="20"/>
          <w:szCs w:val="20"/>
        </w:rPr>
      </w:pPr>
      <w:r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="00545604">
        <w:rPr>
          <w:rStyle w:val="Emphasis"/>
          <w:rFonts w:ascii="Times New Roman" w:hAnsi="Times New Roman" w:cs="Times New Roman"/>
          <w:i w:val="0"/>
          <w:sz w:val="20"/>
          <w:szCs w:val="20"/>
        </w:rPr>
        <w:t>Predsjednik Izvršnog odbora sr.</w:t>
      </w:r>
      <w:proofErr w:type="gramEnd"/>
    </w:p>
    <w:p w:rsidR="00A3745E" w:rsidRPr="00545604" w:rsidRDefault="00545604" w:rsidP="00545604">
      <w:pPr>
        <w:pStyle w:val="ListParagraph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Željko Ma</w:t>
      </w:r>
      <w:r w:rsidRPr="00545604">
        <w:rPr>
          <w:rFonts w:ascii="Times New Roman" w:hAnsi="Times New Roman"/>
          <w:sz w:val="20"/>
          <w:szCs w:val="20"/>
        </w:rPr>
        <w:t xml:space="preserve">džgalj </w:t>
      </w:r>
    </w:p>
    <w:p w:rsidR="00A3745E" w:rsidRPr="00CE23A6" w:rsidRDefault="00A3745E" w:rsidP="00A3745E">
      <w:pPr>
        <w:rPr>
          <w:rFonts w:ascii="Times New Roman" w:hAnsi="Times New Roman" w:cs="Times New Roman"/>
          <w:sz w:val="20"/>
          <w:szCs w:val="20"/>
        </w:rPr>
      </w:pPr>
    </w:p>
    <w:p w:rsidR="00F8051A" w:rsidRPr="00CE23A6" w:rsidRDefault="00F8051A" w:rsidP="00F8051A">
      <w:pPr>
        <w:pStyle w:val="ListParagraph"/>
        <w:rPr>
          <w:rFonts w:ascii="Times New Roman" w:hAnsi="Times New Roman"/>
          <w:sz w:val="20"/>
          <w:szCs w:val="20"/>
        </w:rPr>
      </w:pPr>
      <w:r w:rsidRPr="00CE23A6">
        <w:rPr>
          <w:rFonts w:ascii="Times New Roman" w:hAnsi="Times New Roman"/>
          <w:sz w:val="20"/>
          <w:szCs w:val="20"/>
        </w:rPr>
        <w:t xml:space="preserve">          </w:t>
      </w:r>
    </w:p>
    <w:p w:rsidR="00950357" w:rsidRDefault="00950357" w:rsidP="009503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:rsidR="00950357" w:rsidRPr="004276DF" w:rsidRDefault="00950357" w:rsidP="004276DF">
      <w:pPr>
        <w:ind w:left="720"/>
        <w:rPr>
          <w:rFonts w:ascii="Times New Roman" w:hAnsi="Times New Roman"/>
          <w:sz w:val="20"/>
          <w:szCs w:val="20"/>
        </w:rPr>
      </w:pPr>
    </w:p>
    <w:p w:rsidR="004276DF" w:rsidRDefault="004276DF" w:rsidP="004276DF">
      <w:pPr>
        <w:rPr>
          <w:rFonts w:ascii="Times New Roman" w:hAnsi="Times New Roman"/>
          <w:sz w:val="20"/>
          <w:szCs w:val="20"/>
        </w:rPr>
      </w:pPr>
    </w:p>
    <w:p w:rsidR="004276DF" w:rsidRDefault="004276DF" w:rsidP="004276DF">
      <w:pPr>
        <w:rPr>
          <w:rFonts w:ascii="Times New Roman" w:hAnsi="Times New Roman"/>
          <w:sz w:val="20"/>
          <w:szCs w:val="20"/>
        </w:rPr>
      </w:pPr>
    </w:p>
    <w:p w:rsidR="004276DF" w:rsidRPr="004276DF" w:rsidRDefault="004276DF" w:rsidP="004276DF">
      <w:pPr>
        <w:rPr>
          <w:rFonts w:ascii="Times New Roman" w:hAnsi="Times New Roman"/>
          <w:sz w:val="20"/>
          <w:szCs w:val="20"/>
        </w:rPr>
      </w:pPr>
    </w:p>
    <w:p w:rsidR="004276DF" w:rsidRDefault="004276DF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545797" w:rsidRPr="003A2F6E" w:rsidRDefault="00545797" w:rsidP="00545797">
      <w:pPr>
        <w:pStyle w:val="ListParagraph"/>
        <w:rPr>
          <w:rFonts w:ascii="Times New Roman" w:hAnsi="Times New Roman"/>
          <w:sz w:val="20"/>
          <w:szCs w:val="20"/>
        </w:rPr>
      </w:pPr>
    </w:p>
    <w:p w:rsidR="004F095F" w:rsidRDefault="004F095F" w:rsidP="001635A4"/>
    <w:sectPr w:rsidR="004F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D0B"/>
    <w:multiLevelType w:val="hybridMultilevel"/>
    <w:tmpl w:val="E014087A"/>
    <w:lvl w:ilvl="0" w:tplc="2812C67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04F3682"/>
    <w:multiLevelType w:val="hybridMultilevel"/>
    <w:tmpl w:val="B3A0B81C"/>
    <w:lvl w:ilvl="0" w:tplc="668EF2AE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55B5"/>
    <w:multiLevelType w:val="hybridMultilevel"/>
    <w:tmpl w:val="4A224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D1CDB"/>
    <w:multiLevelType w:val="hybridMultilevel"/>
    <w:tmpl w:val="591CF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2E0"/>
    <w:multiLevelType w:val="hybridMultilevel"/>
    <w:tmpl w:val="D338B1BA"/>
    <w:lvl w:ilvl="0" w:tplc="74A43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73EB4470"/>
    <w:multiLevelType w:val="hybridMultilevel"/>
    <w:tmpl w:val="485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A5F0A"/>
    <w:multiLevelType w:val="hybridMultilevel"/>
    <w:tmpl w:val="FCA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E714E"/>
    <w:multiLevelType w:val="hybridMultilevel"/>
    <w:tmpl w:val="608A2802"/>
    <w:lvl w:ilvl="0" w:tplc="A45E1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A4"/>
    <w:rsid w:val="000161DF"/>
    <w:rsid w:val="000325FB"/>
    <w:rsid w:val="00056296"/>
    <w:rsid w:val="00113A25"/>
    <w:rsid w:val="001144EB"/>
    <w:rsid w:val="001635A4"/>
    <w:rsid w:val="001B26DA"/>
    <w:rsid w:val="002D0A8A"/>
    <w:rsid w:val="002E5205"/>
    <w:rsid w:val="003A1AA3"/>
    <w:rsid w:val="003A2F6E"/>
    <w:rsid w:val="003C1B58"/>
    <w:rsid w:val="003F28D7"/>
    <w:rsid w:val="004276DF"/>
    <w:rsid w:val="004A1BAA"/>
    <w:rsid w:val="004D1F4A"/>
    <w:rsid w:val="004F095F"/>
    <w:rsid w:val="00514B5B"/>
    <w:rsid w:val="00534905"/>
    <w:rsid w:val="00545604"/>
    <w:rsid w:val="00545797"/>
    <w:rsid w:val="005462C5"/>
    <w:rsid w:val="00567530"/>
    <w:rsid w:val="005B27DC"/>
    <w:rsid w:val="006E1E71"/>
    <w:rsid w:val="00717A41"/>
    <w:rsid w:val="00731411"/>
    <w:rsid w:val="00764B40"/>
    <w:rsid w:val="0078656D"/>
    <w:rsid w:val="007A78C9"/>
    <w:rsid w:val="00800722"/>
    <w:rsid w:val="008053B7"/>
    <w:rsid w:val="0081325F"/>
    <w:rsid w:val="008C0A90"/>
    <w:rsid w:val="008C216F"/>
    <w:rsid w:val="008F5AE5"/>
    <w:rsid w:val="00950357"/>
    <w:rsid w:val="00967FEE"/>
    <w:rsid w:val="00A3745E"/>
    <w:rsid w:val="00A505A2"/>
    <w:rsid w:val="00B77F76"/>
    <w:rsid w:val="00C7671B"/>
    <w:rsid w:val="00C83DD9"/>
    <w:rsid w:val="00CA5639"/>
    <w:rsid w:val="00CC7BF8"/>
    <w:rsid w:val="00CD2A0B"/>
    <w:rsid w:val="00CE23A6"/>
    <w:rsid w:val="00E02336"/>
    <w:rsid w:val="00E133E9"/>
    <w:rsid w:val="00E37BE8"/>
    <w:rsid w:val="00E67910"/>
    <w:rsid w:val="00E91EB1"/>
    <w:rsid w:val="00EA79B5"/>
    <w:rsid w:val="00EB38E1"/>
    <w:rsid w:val="00F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A4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3A6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35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35A4"/>
    <w:rPr>
      <w:i/>
      <w:iCs/>
    </w:rPr>
  </w:style>
  <w:style w:type="paragraph" w:styleId="NoSpacing">
    <w:name w:val="No Spacing"/>
    <w:uiPriority w:val="1"/>
    <w:qFormat/>
    <w:rsid w:val="004F09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95F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1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E23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A4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3A6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35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35A4"/>
    <w:rPr>
      <w:i/>
      <w:iCs/>
    </w:rPr>
  </w:style>
  <w:style w:type="paragraph" w:styleId="NoSpacing">
    <w:name w:val="No Spacing"/>
    <w:uiPriority w:val="1"/>
    <w:qFormat/>
    <w:rsid w:val="004F09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95F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1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E23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p.m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bp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E5F4-1861-4E09-9CDD-D11F6767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51</cp:revision>
  <cp:lastPrinted>2024-01-19T13:14:00Z</cp:lastPrinted>
  <dcterms:created xsi:type="dcterms:W3CDTF">2023-12-18T13:37:00Z</dcterms:created>
  <dcterms:modified xsi:type="dcterms:W3CDTF">2024-03-01T08:19:00Z</dcterms:modified>
</cp:coreProperties>
</file>